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Arial" w:cs="Arial" w:eastAsia="Arial" w:hAnsi="Arial"/>
          <w:b/>
          <w:bCs/>
          <w:color w:val="1F3864"/>
          <w:sz w:val="30"/>
          <w:szCs w:val="30"/>
        </w:rPr>
        <w:t xml:space="preserve">Fund Berkeley's Capital by Risk — Not by Silo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595959"/>
          <w:sz w:val="17"/>
          <w:szCs w:val="17"/>
        </w:rPr>
        <w:t xml:space="preserve">A proposal to adopt a transparent capital-prioritization framework for the FY2028 budget cycle</w:t>
      </w:r>
    </w:p>
    <w:p>
      <w:pPr>
        <w:pBdr>
          <w:bottom w:val="single" w:color="1F3864" w:sz="6" w:space="1"/>
        </w:pBdr>
        <w:spacing w:after="80"/>
      </w:pPr>
    </w:p>
    <w:p>
      <w:pPr>
        <w:spacing w:after="40" w:before="120"/>
      </w:pPr>
      <w:r>
        <w:rPr>
          <w:rFonts w:ascii="Arial" w:cs="Arial" w:eastAsia="Arial" w:hAnsi="Arial"/>
          <w:b/>
          <w:bCs/>
          <w:color w:val="1F3864"/>
          <w:sz w:val="19"/>
          <w:szCs w:val="19"/>
        </w:rPr>
        <w:t xml:space="preserve">The problem</w:t>
      </w:r>
    </w:p>
    <w:p>
      <w:pPr>
        <w:spacing w:after="60"/>
      </w:pPr>
      <w:r>
        <w:rPr>
          <w:rFonts w:ascii="Arial" w:cs="Arial" w:eastAsia="Arial" w:hAnsi="Arial"/>
          <w:sz w:val="16"/>
          <w:szCs w:val="16"/>
        </w:rPr>
        <w:t xml:space="preserve">On June 16, the City Council was presented a five-year Capital Improvement Program listing </w:t>
      </w:r>
      <w:r>
        <w:rPr>
          <w:rFonts w:ascii="Arial" w:cs="Arial" w:eastAsia="Arial" w:hAnsi="Arial"/>
          <w:b/>
          <w:bCs/>
          <w:sz w:val="16"/>
          <w:szCs w:val="16"/>
        </w:rPr>
        <w:t xml:space="preserve">149 projects and roughly $2.1 billion in unfunded capital need</w:t>
      </w:r>
      <w:r>
        <w:rPr>
          <w:rFonts w:ascii="Arial" w:cs="Arial" w:eastAsia="Arial" w:hAnsi="Arial"/>
          <w:sz w:val="16"/>
          <w:szCs w:val="16"/>
        </w:rPr>
        <w:t xml:space="preserve"> — organized by department, with no visible ranking of which needs come first or why. Years 3–5 carry no named projects at all. In short: a wish list, not a priority list.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F3864"/>
          <w:sz w:val="19"/>
          <w:szCs w:val="19"/>
        </w:rPr>
        <w:t xml:space="preserve">Why it matters</w:t>
      </w:r>
    </w:p>
    <w:p>
      <w:pPr>
        <w:spacing w:after="60"/>
      </w:pPr>
      <w:r>
        <w:rPr>
          <w:rFonts w:ascii="Arial" w:cs="Arial" w:eastAsia="Arial" w:hAnsi="Arial"/>
          <w:sz w:val="16"/>
          <w:szCs w:val="16"/>
        </w:rPr>
        <w:t xml:space="preserve">Berkeley owns about </w:t>
      </w:r>
      <w:r>
        <w:rPr>
          <w:rFonts w:ascii="Arial" w:cs="Arial" w:eastAsia="Arial" w:hAnsi="Arial"/>
          <w:b/>
          <w:bCs/>
          <w:sz w:val="16"/>
          <w:szCs w:val="16"/>
        </w:rPr>
        <w:t xml:space="preserve">$609M of depreciated capital</w:t>
      </w:r>
      <w:r>
        <w:rPr>
          <w:rFonts w:ascii="Arial" w:cs="Arial" w:eastAsia="Arial" w:hAnsi="Arial"/>
          <w:sz w:val="16"/>
          <w:szCs w:val="16"/>
        </w:rPr>
        <w:t xml:space="preserve"> but needs ~$2.1B to bring it to standard — a 3-to-1 gap — while carrying ~$807M in pension and OPEB debt and a negative unrestricted net position. With dollars this scarce, </w:t>
      </w:r>
      <w:r>
        <w:rPr>
          <w:rFonts w:ascii="Arial" w:cs="Arial" w:eastAsia="Arial" w:hAnsi="Arial"/>
          <w:b/>
          <w:bCs/>
          <w:sz w:val="16"/>
          <w:szCs w:val="16"/>
        </w:rPr>
        <w:t xml:space="preserve">the order in which we fund matters as much as the total.</w:t>
      </w:r>
      <w:r>
        <w:rPr>
          <w:rFonts w:ascii="Arial" w:cs="Arial" w:eastAsia="Arial" w:hAnsi="Arial"/>
          <w:sz w:val="16"/>
          <w:szCs w:val="16"/>
        </w:rPr>
        <w:t xml:space="preserve"> Yet the City has no published method for setting that order. This is out of step with GFOA best practice, which calls for explicit, criteria-based scoring of every capital request.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F3864"/>
          <w:sz w:val="19"/>
          <w:szCs w:val="19"/>
        </w:rPr>
        <w:t xml:space="preserve">The evidence</w:t>
      </w:r>
    </w:p>
    <w:p>
      <w:pPr>
        <w:spacing w:after="30"/>
      </w:pPr>
      <w:r>
        <w:rPr>
          <w:rFonts w:ascii="Arial" w:cs="Arial" w:eastAsia="Arial" w:hAnsi="Arial"/>
          <w:b/>
          <w:bCs/>
          <w:sz w:val="16"/>
          <w:szCs w:val="16"/>
        </w:rPr>
        <w:t xml:space="preserve">• </w:t>
      </w:r>
      <w:r>
        <w:rPr>
          <w:rFonts w:ascii="Arial" w:cs="Arial" w:eastAsia="Arial" w:hAnsi="Arial"/>
          <w:b/>
          <w:bCs/>
          <w:sz w:val="16"/>
          <w:szCs w:val="16"/>
        </w:rPr>
        <w:t xml:space="preserve">Only one asset class carries a legal mandate</w:t>
      </w:r>
      <w:r>
        <w:rPr>
          <w:rFonts w:ascii="Arial" w:cs="Arial" w:eastAsia="Arial" w:hAnsi="Arial"/>
          <w:sz w:val="16"/>
          <w:szCs w:val="16"/>
        </w:rPr>
        <w:t xml:space="preserve">: the sanitary sewer, under a federal consent decree (≥4.2 mi/yr to 2036). Everything else is discretionary — so the order is a choice the City is making invisibly.</w:t>
      </w:r>
    </w:p>
    <w:p>
      <w:pPr>
        <w:spacing w:after="30"/>
      </w:pPr>
      <w:r>
        <w:rPr>
          <w:rFonts w:ascii="Arial" w:cs="Arial" w:eastAsia="Arial" w:hAnsi="Arial"/>
          <w:b/>
          <w:bCs/>
          <w:sz w:val="16"/>
          <w:szCs w:val="16"/>
        </w:rPr>
        <w:t xml:space="preserve">• </w:t>
      </w:r>
      <w:r>
        <w:rPr>
          <w:rFonts w:ascii="Arial" w:cs="Arial" w:eastAsia="Arial" w:hAnsi="Arial"/>
          <w:sz w:val="16"/>
          <w:szCs w:val="16"/>
        </w:rPr>
        <w:t xml:space="preserve">Streets sit at PCI 56 (“At Risk,” below the regional 67) with a $250M+ backlog; the adopted plan admits it will not reach “good.”</w:t>
      </w:r>
    </w:p>
    <w:p>
      <w:pPr>
        <w:spacing w:after="30"/>
      </w:pPr>
      <w:r>
        <w:rPr>
          <w:rFonts w:ascii="Arial" w:cs="Arial" w:eastAsia="Arial" w:hAnsi="Arial"/>
          <w:b/>
          <w:bCs/>
          <w:sz w:val="16"/>
          <w:szCs w:val="16"/>
        </w:rPr>
        <w:t xml:space="preserve">• </w:t>
      </w:r>
      <w:r>
        <w:rPr>
          <w:rFonts w:ascii="Arial" w:cs="Arial" w:eastAsia="Arial" w:hAnsi="Arial"/>
          <w:sz w:val="16"/>
          <w:szCs w:val="16"/>
        </w:rPr>
        <w:t xml:space="preserve">Stormwater has a $208M need funded by ~$2.3M/year — from a fee not raised since the early 1990s.</w:t>
      </w:r>
    </w:p>
    <w:p>
      <w:pPr>
        <w:spacing w:after="80"/>
      </w:pPr>
      <w:r>
        <w:rPr>
          <w:rFonts w:ascii="Arial" w:cs="Arial" w:eastAsia="Arial" w:hAnsi="Arial"/>
          <w:b/>
          <w:bCs/>
          <w:sz w:val="16"/>
          <w:szCs w:val="16"/>
        </w:rPr>
        <w:t xml:space="preserve">• </w:t>
      </w:r>
      <w:r>
        <w:rPr>
          <w:rFonts w:ascii="Arial" w:cs="Arial" w:eastAsia="Arial" w:hAnsi="Arial"/>
          <w:sz w:val="16"/>
          <w:szCs w:val="16"/>
        </w:rPr>
        <w:t xml:space="preserve">The Marina ($131M unfunded, failing docks and pilings) has run a structural deficit for 15+ years.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F3864"/>
          <w:sz w:val="19"/>
          <w:szCs w:val="19"/>
        </w:rPr>
        <w:t xml:space="preserve">The ask</w:t>
      </w:r>
    </w:p>
    <w:p>
      <w:pPr>
        <w:spacing w:after="60"/>
      </w:pPr>
      <w:r>
        <w:rPr>
          <w:rFonts w:ascii="Arial" w:cs="Arial" w:eastAsia="Arial" w:hAnsi="Arial"/>
          <w:b/>
          <w:bCs/>
          <w:sz w:val="16"/>
          <w:szCs w:val="16"/>
        </w:rPr>
        <w:t xml:space="preserve">Adopt and publish a capital-prioritization rubric</w:t>
      </w:r>
      <w:r>
        <w:rPr>
          <w:rFonts w:ascii="Arial" w:cs="Arial" w:eastAsia="Arial" w:hAnsi="Arial"/>
          <w:sz w:val="16"/>
          <w:szCs w:val="16"/>
        </w:rPr>
        <w:t xml:space="preserve"> — score every project 0–5 on nine weighted criteria (legal mandate, health &amp; safety, asset condition, cost of deferral, service preservation, equity, funding leverage, coordination, climate resilience) and rank by weighted total. This is process reform, not a list of cuts: it tells residents </w:t>
      </w:r>
      <w:r>
        <w:rPr>
          <w:rFonts w:ascii="Arial" w:cs="Arial" w:eastAsia="Arial" w:hAnsi="Arial"/>
          <w:i/>
          <w:iCs/>
          <w:sz w:val="16"/>
          <w:szCs w:val="16"/>
        </w:rPr>
        <w:t xml:space="preserve">how</w:t>
      </w:r>
      <w:r>
        <w:rPr>
          <w:rFonts w:ascii="Arial" w:cs="Arial" w:eastAsia="Arial" w:hAnsi="Arial"/>
          <w:sz w:val="16"/>
          <w:szCs w:val="16"/>
        </w:rPr>
        <w:t xml:space="preserve"> decisions are made, and lets the numbers — not the loudest department — set the order.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F3864"/>
          <w:sz w:val="19"/>
          <w:szCs w:val="19"/>
        </w:rPr>
        <w:t xml:space="preserve">What it produces — the ranked list the CIP didn't show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"/>
        <w:gridCol w:w="2900"/>
        <w:gridCol w:w="2840"/>
        <w:gridCol w:w="900"/>
        <w:gridCol w:w="2100"/>
      </w:tblGrid>
      <w:tr>
        <w:trPr>
          <w:tblHeader/>
        </w:trPr>
        <w:tc>
          <w:tcPr>
            <w:tcW w:type="dxa" w:w="6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#</w:t>
            </w:r>
          </w:p>
        </w:tc>
        <w:tc>
          <w:tcPr>
            <w:tcW w:type="dxa" w:w="2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Asset class</w:t>
            </w:r>
          </w:p>
        </w:tc>
        <w:tc>
          <w:tcPr>
            <w:tcW w:type="dxa" w:w="28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Governing mandate</w:t>
            </w:r>
          </w:p>
        </w:tc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Score</w:t>
            </w:r>
          </w:p>
        </w:tc>
        <w:tc>
          <w:tcPr>
            <w:tcW w:type="dxa" w:w="2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Tier</w:t>
            </w:r>
          </w:p>
        </w:tc>
      </w:tr>
      <w:tr>
        <w:tc>
          <w:tcPr>
            <w:tcW w:type="dxa" w:w="6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</w:t>
            </w:r>
          </w:p>
        </w:tc>
        <w:tc>
          <w:tcPr>
            <w:tcW w:type="dxa" w:w="2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Sanitary sewer</w:t>
            </w:r>
          </w:p>
        </w:tc>
        <w:tc>
          <w:tcPr>
            <w:tcW w:type="dxa" w:w="28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Federal consent decree</w:t>
            </w:r>
          </w:p>
        </w:tc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378</w:t>
            </w:r>
          </w:p>
        </w:tc>
        <w:tc>
          <w:tcPr>
            <w:tcW w:type="dxa" w:w="2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4CCCC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Tier 1 — Must-Do</w:t>
            </w:r>
          </w:p>
        </w:tc>
      </w:tr>
      <w:tr>
        <w:tc>
          <w:tcPr>
            <w:tcW w:type="dxa" w:w="6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</w:t>
            </w:r>
          </w:p>
        </w:tc>
        <w:tc>
          <w:tcPr>
            <w:tcW w:type="dxa" w:w="2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Stormwater / watershed</w:t>
            </w:r>
          </w:p>
        </w:tc>
        <w:tc>
          <w:tcPr>
            <w:tcW w:type="dxa" w:w="28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MRP permit</w:t>
            </w:r>
          </w:p>
        </w:tc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368</w:t>
            </w:r>
          </w:p>
        </w:tc>
        <w:tc>
          <w:tcPr>
            <w:tcW w:type="dxa" w:w="2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1F2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Tier 2 — High</w:t>
            </w:r>
          </w:p>
        </w:tc>
      </w:tr>
      <w:tr>
        <w:tc>
          <w:tcPr>
            <w:tcW w:type="dxa" w:w="6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</w:t>
            </w:r>
          </w:p>
        </w:tc>
        <w:tc>
          <w:tcPr>
            <w:tcW w:type="dxa" w:w="2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Streets / pavement</w:t>
            </w:r>
          </w:p>
        </w:tc>
        <w:tc>
          <w:tcPr>
            <w:tcW w:type="dxa" w:w="28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None (Vision Zero)</w:t>
            </w:r>
          </w:p>
        </w:tc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336</w:t>
            </w:r>
          </w:p>
        </w:tc>
        <w:tc>
          <w:tcPr>
            <w:tcW w:type="dxa" w:w="2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1F2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Tier 2 — High</w:t>
            </w:r>
          </w:p>
        </w:tc>
      </w:tr>
      <w:tr>
        <w:tc>
          <w:tcPr>
            <w:tcW w:type="dxa" w:w="6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</w:t>
            </w:r>
          </w:p>
        </w:tc>
        <w:tc>
          <w:tcPr>
            <w:tcW w:type="dxa" w:w="2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Sidewalks</w:t>
            </w:r>
          </w:p>
        </w:tc>
        <w:tc>
          <w:tcPr>
            <w:tcW w:type="dxa" w:w="28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ADA (partial)</w:t>
            </w:r>
          </w:p>
        </w:tc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334</w:t>
            </w:r>
          </w:p>
        </w:tc>
        <w:tc>
          <w:tcPr>
            <w:tcW w:type="dxa" w:w="2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1F2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Tier 2 — High</w:t>
            </w:r>
          </w:p>
        </w:tc>
      </w:tr>
      <w:tr>
        <w:tc>
          <w:tcPr>
            <w:tcW w:type="dxa" w:w="6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</w:t>
            </w:r>
          </w:p>
        </w:tc>
        <w:tc>
          <w:tcPr>
            <w:tcW w:type="dxa" w:w="2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Facilities / Civic Center</w:t>
            </w:r>
          </w:p>
        </w:tc>
        <w:tc>
          <w:tcPr>
            <w:tcW w:type="dxa" w:w="28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Seismic life-safety</w:t>
            </w:r>
          </w:p>
        </w:tc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328</w:t>
            </w:r>
          </w:p>
        </w:tc>
        <w:tc>
          <w:tcPr>
            <w:tcW w:type="dxa" w:w="2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1F2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Tier 2 — High</w:t>
            </w:r>
          </w:p>
        </w:tc>
      </w:tr>
      <w:tr>
        <w:tc>
          <w:tcPr>
            <w:tcW w:type="dxa" w:w="6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</w:t>
            </w:r>
          </w:p>
        </w:tc>
        <w:tc>
          <w:tcPr>
            <w:tcW w:type="dxa" w:w="2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Marina / Waterfront</w:t>
            </w:r>
          </w:p>
        </w:tc>
        <w:tc>
          <w:tcPr>
            <w:tcW w:type="dxa" w:w="28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None (enterprise)</w:t>
            </w:r>
          </w:p>
        </w:tc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297</w:t>
            </w:r>
          </w:p>
        </w:tc>
        <w:tc>
          <w:tcPr>
            <w:tcW w:type="dxa" w:w="2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Tier 3 — Medium</w:t>
            </w:r>
          </w:p>
        </w:tc>
      </w:tr>
    </w:tbl>
    <w:p>
      <w:pPr>
        <w:spacing w:after="40" w:before="30"/>
      </w:pPr>
      <w:r>
        <w:rPr>
          <w:rFonts w:ascii="Arial" w:cs="Arial" w:eastAsia="Arial" w:hAnsi="Arial"/>
          <w:i/>
          <w:iCs/>
          <w:color w:val="595959"/>
          <w:sz w:val="14"/>
          <w:szCs w:val="14"/>
        </w:rPr>
        <w:t xml:space="preserve">Illustrative: the BeTH rubric applied to Berkeley's asset classes. Mandated work (consent decree, ADA, seismic) is funded first by rule; the weighted score orders the discretionary remainder. Lowest-ranked: urban forest (188) and streetlights (206).</w:t>
      </w:r>
    </w:p>
    <w:p>
      <w:pPr>
        <w:pBdr>
          <w:bottom w:val="single" w:color="1F3864" w:sz="6" w:space="1"/>
        </w:pBdr>
        <w:spacing w:after="80"/>
      </w:pPr>
    </w:p>
    <w:p>
      <w:r>
        <w:rPr>
          <w:rFonts w:ascii="Arial" w:cs="Arial" w:eastAsia="Arial" w:hAnsi="Arial"/>
          <w:color w:val="595959"/>
          <w:sz w:val="14"/>
          <w:szCs w:val="14"/>
        </w:rPr>
        <w:t xml:space="preserve">Berkeley Transparency Hub (BeTH)  ·  </w:t>
      </w:r>
      <w:r>
        <w:rPr>
          <w:rFonts w:ascii="Arial" w:cs="Arial" w:eastAsia="Arial" w:hAnsi="Arial"/>
          <w:color w:val="595959"/>
          <w:sz w:val="14"/>
          <w:szCs w:val="14"/>
        </w:rPr>
        <w:t xml:space="preserve">Sources: Berkeley FY27–31 CIP (Item 40c), 5-Year Paving Plan FY24-28, EPA Consent Decree, 2012 Watershed Plan, Marina Fund Update (2025), ACFR FY2024, GFOA Capital Planning best practice.</w:t>
      </w:r>
    </w:p>
    <w:sectPr>
      <w:pgSz w:w="12240" w:h="15840" w:orient="portrait"/>
      <w:pgMar w:top="1080" w:right="1080" w:bottom="864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6"/>
        <w:szCs w:val="1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2026-06-18T00:28:14.233Z</dcterms:created>
  <dcterms:modified xsi:type="dcterms:W3CDTF">2026-06-18T00:28:14.233Z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