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pPr>
      <w:r>
        <w:rPr>
          <w:rFonts w:ascii="Arial" w:cs="Arial" w:eastAsia="Arial" w:hAnsi="Arial"/>
          <w:b/>
          <w:bCs/>
          <w:color w:val="1F3864"/>
          <w:sz w:val="30"/>
          <w:szCs w:val="30"/>
        </w:rPr>
        <w:t xml:space="preserve">Referral / Recommendation to the City Council</w:t>
      </w:r>
    </w:p>
    <w:p>
      <w:pPr>
        <w:spacing w:after="40"/>
      </w:pPr>
      <w:r>
        <w:rPr>
          <w:rFonts w:ascii="Arial" w:cs="Arial" w:eastAsia="Arial" w:hAnsi="Arial"/>
          <w:color w:val="595959"/>
          <w:sz w:val="19"/>
          <w:szCs w:val="19"/>
        </w:rPr>
        <w:t xml:space="preserve">Adopt Total-Cost-of-Ownership Capital Planning — and acquire the data to do it</w:t>
      </w:r>
    </w:p>
    <w:p>
      <w:pPr>
        <w:spacing w:after="60"/>
      </w:pPr>
      <w:r>
        <w:rPr>
          <w:rFonts w:ascii="Arial" w:cs="Arial" w:eastAsia="Arial" w:hAnsi="Arial"/>
          <w:color w:val="595959"/>
          <w:sz w:val="15"/>
          <w:szCs w:val="15"/>
        </w:rPr>
        <w:t xml:space="preserve">Berkeley Transparency Hub (BeTH)  ·  Prepared for the FY2028 budget cycle</w:t>
      </w:r>
    </w:p>
    <w:p>
      <w:pPr>
        <w:pBdr>
          <w:bottom w:val="single" w:color="1F3864" w:sz="6" w:space="1"/>
        </w:pBdr>
        <w:spacing w:after="100"/>
      </w:pPr>
    </w:p>
    <w:p>
      <w:pPr>
        <w:spacing w:after="70" w:before="200"/>
      </w:pPr>
      <w:r>
        <w:rPr>
          <w:rFonts w:ascii="Arial" w:cs="Arial" w:eastAsia="Arial" w:hAnsi="Arial"/>
          <w:b/>
          <w:bCs/>
          <w:color w:val="1F3864"/>
          <w:sz w:val="22"/>
          <w:szCs w:val="22"/>
        </w:rPr>
        <w:t xml:space="preserve">1.  The principle: decide on lifetime cost, not first cost</w:t>
      </w:r>
    </w:p>
    <w:p>
      <w:pPr>
        <w:spacing w:after="90"/>
      </w:pPr>
      <w:r>
        <w:rPr>
          <w:rFonts w:ascii="Arial" w:cs="Arial" w:eastAsia="Arial" w:hAnsi="Arial"/>
          <w:sz w:val="18"/>
          <w:szCs w:val="18"/>
        </w:rPr>
        <w:t xml:space="preserve">The Proposed CIP scores projects by their up-front construction cost. For civil infrastructure that figure is only about </w:t>
      </w:r>
      <w:r>
        <w:rPr>
          <w:rFonts w:ascii="Arial" w:cs="Arial" w:eastAsia="Arial" w:hAnsi="Arial"/>
          <w:b/>
          <w:bCs/>
          <w:sz w:val="18"/>
          <w:szCs w:val="18"/>
        </w:rPr>
        <w:t xml:space="preserve">20–40% of what the asset actually costs to own</w:t>
      </w:r>
      <w:r>
        <w:rPr>
          <w:rFonts w:ascii="Arial" w:cs="Arial" w:eastAsia="Arial" w:hAnsi="Arial"/>
          <w:sz w:val="18"/>
          <w:szCs w:val="18"/>
        </w:rPr>
        <w:t xml:space="preserve"> over a 30–75-year life; operations, maintenance, and mid-life renewal make up the rest. Choosing projects on first cost optimizes the smallest slice of the bill and systematically under-funds the largest.</w:t>
      </w:r>
    </w:p>
    <w:p>
      <w:pPr>
        <w:spacing w:after="90"/>
      </w:pPr>
      <w:r>
        <w:rPr>
          <w:rFonts w:ascii="Arial" w:cs="Arial" w:eastAsia="Arial" w:hAnsi="Arial"/>
          <w:sz w:val="18"/>
          <w:szCs w:val="18"/>
        </w:rPr>
        <w:t xml:space="preserve">Total Cost of Ownership (TCO) states the full, present-value cost: </w:t>
      </w:r>
      <w:r>
        <w:rPr>
          <w:rFonts w:ascii="Arial" w:cs="Arial" w:eastAsia="Arial" w:hAnsi="Arial"/>
          <w:b/>
          <w:bCs/>
          <w:sz w:val="18"/>
          <w:szCs w:val="18"/>
        </w:rPr>
        <w:t xml:space="preserve">TCO = first cost + lifetime O&amp;M + periodic rehabilitation + replacement − salvage,</w:t>
      </w:r>
      <w:r>
        <w:rPr>
          <w:rFonts w:ascii="Arial" w:cs="Arial" w:eastAsia="Arial" w:hAnsi="Arial"/>
          <w:sz w:val="18"/>
          <w:szCs w:val="18"/>
        </w:rPr>
        <w:t xml:space="preserve"> all discounted to today. GFOA names life-cycle costing a best practice and recommends net-present-value evaluation of every capital request. This referral asks the City to make that the basis of its capital decisions — and to gather the data required to compute it.</w:t>
      </w:r>
    </w:p>
    <w:p>
      <w:pPr>
        <w:spacing w:after="70" w:before="200"/>
      </w:pPr>
      <w:r>
        <w:rPr>
          <w:rFonts w:ascii="Arial" w:cs="Arial" w:eastAsia="Arial" w:hAnsi="Arial"/>
          <w:b/>
          <w:bCs/>
          <w:color w:val="1F3864"/>
          <w:sz w:val="22"/>
          <w:szCs w:val="22"/>
        </w:rPr>
        <w:t xml:space="preserve">2.  The cost of waiting is the most expensive money the City spends</w:t>
      </w:r>
    </w:p>
    <w:p>
      <w:pPr>
        <w:spacing w:after="90"/>
      </w:pPr>
      <w:r>
        <w:rPr>
          <w:rFonts w:ascii="Arial" w:cs="Arial" w:eastAsia="Arial" w:hAnsi="Arial"/>
          <w:sz w:val="18"/>
          <w:szCs w:val="18"/>
        </w:rPr>
        <w:t xml:space="preserve">Deferring repair is not free; it is borrowing at a hidden, high interest rate. Three penalties stack:</w:t>
      </w:r>
    </w:p>
    <w:p>
      <w:pPr>
        <w:pStyle w:val="ListParagraph"/>
        <w:numPr>
          <w:ilvl w:val="0"/>
          <w:numId w:val="2"/>
        </w:numPr>
        <w:spacing w:after="40"/>
      </w:pPr>
      <w:r>
        <w:rPr>
          <w:rFonts w:ascii="Arial" w:cs="Arial" w:eastAsia="Arial" w:hAnsi="Arial"/>
          <w:b/>
          <w:bCs/>
          <w:sz w:val="18"/>
          <w:szCs w:val="18"/>
        </w:rPr>
        <w:t xml:space="preserve">Condition multiplier — </w:t>
      </w:r>
      <w:r>
        <w:rPr>
          <w:rFonts w:ascii="Arial" w:cs="Arial" w:eastAsia="Arial" w:hAnsi="Arial"/>
          <w:sz w:val="18"/>
          <w:szCs w:val="18"/>
        </w:rPr>
        <w:t xml:space="preserve">once an asset passes its “critical” condition the cost to restore it jumps. FHWA finds preventive maintenance is </w:t>
      </w:r>
      <w:r>
        <w:rPr>
          <w:rFonts w:ascii="Arial" w:cs="Arial" w:eastAsia="Arial" w:hAnsi="Arial"/>
          <w:b/>
          <w:bCs/>
          <w:sz w:val="18"/>
          <w:szCs w:val="18"/>
        </w:rPr>
        <w:t xml:space="preserve">4–5× cheaper</w:t>
      </w:r>
      <w:r>
        <w:rPr>
          <w:rFonts w:ascii="Arial" w:cs="Arial" w:eastAsia="Arial" w:hAnsi="Arial"/>
          <w:sz w:val="18"/>
          <w:szCs w:val="18"/>
        </w:rPr>
        <w:t xml:space="preserve"> than reconstruction; the deterioration curve steepens suddenly at the cliff.</w:t>
      </w:r>
    </w:p>
    <w:p>
      <w:pPr>
        <w:pStyle w:val="ListParagraph"/>
        <w:numPr>
          <w:ilvl w:val="0"/>
          <w:numId w:val="2"/>
        </w:numPr>
        <w:spacing w:after="40"/>
      </w:pPr>
      <w:r>
        <w:rPr>
          <w:rFonts w:ascii="Arial" w:cs="Arial" w:eastAsia="Arial" w:hAnsi="Arial"/>
          <w:b/>
          <w:bCs/>
          <w:sz w:val="18"/>
          <w:szCs w:val="18"/>
        </w:rPr>
        <w:t xml:space="preserve">Escalation — </w:t>
      </w:r>
      <w:r>
        <w:rPr>
          <w:rFonts w:ascii="Arial" w:cs="Arial" w:eastAsia="Arial" w:hAnsi="Arial"/>
          <w:sz w:val="18"/>
          <w:szCs w:val="18"/>
        </w:rPr>
        <w:t xml:space="preserve">construction costs rise every year a project waits, compounding the bill.</w:t>
      </w:r>
    </w:p>
    <w:p>
      <w:pPr>
        <w:pStyle w:val="ListParagraph"/>
        <w:numPr>
          <w:ilvl w:val="0"/>
          <w:numId w:val="2"/>
        </w:numPr>
        <w:spacing w:after="40"/>
      </w:pPr>
      <w:r>
        <w:rPr>
          <w:rFonts w:ascii="Arial" w:cs="Arial" w:eastAsia="Arial" w:hAnsi="Arial"/>
          <w:b/>
          <w:bCs/>
          <w:sz w:val="18"/>
          <w:szCs w:val="18"/>
        </w:rPr>
        <w:t xml:space="preserve">Expected failure cost — </w:t>
      </w:r>
      <w:r>
        <w:rPr>
          <w:rFonts w:ascii="Arial" w:cs="Arial" w:eastAsia="Arial" w:hAnsi="Arial"/>
          <w:sz w:val="18"/>
          <w:szCs w:val="18"/>
        </w:rPr>
        <w:t xml:space="preserve">probability of failure × consequence: emergency-repair premiums, lost service, liability, and regulatory fines, all rising as condition falls.</w:t>
      </w:r>
    </w:p>
    <w:p>
      <w:pPr>
        <w:spacing w:after="90"/>
      </w:pPr>
      <w:r>
        <w:rPr>
          <w:rFonts w:ascii="Arial" w:cs="Arial" w:eastAsia="Arial" w:hAnsi="Arial"/>
          <w:b/>
          <w:bCs/>
          <w:sz w:val="18"/>
          <w:szCs w:val="18"/>
        </w:rPr>
        <w:t xml:space="preserve">Berkeley's own street data proves the point. </w:t>
      </w:r>
      <w:r>
        <w:rPr>
          <w:rFonts w:ascii="Arial" w:cs="Arial" w:eastAsia="Arial" w:hAnsi="Arial"/>
          <w:sz w:val="18"/>
          <w:szCs w:val="18"/>
        </w:rPr>
        <w:t xml:space="preserve">The City reports a current paving backlog above </w:t>
      </w:r>
      <w:r>
        <w:rPr>
          <w:rFonts w:ascii="Arial" w:cs="Arial" w:eastAsia="Arial" w:hAnsi="Arial"/>
          <w:b/>
          <w:bCs/>
          <w:sz w:val="18"/>
          <w:szCs w:val="18"/>
        </w:rPr>
        <w:t xml:space="preserve">$250M</w:t>
      </w:r>
      <w:r>
        <w:rPr>
          <w:rFonts w:ascii="Arial" w:cs="Arial" w:eastAsia="Arial" w:hAnsi="Arial"/>
          <w:sz w:val="18"/>
          <w:szCs w:val="18"/>
        </w:rPr>
        <w:t xml:space="preserve">; left unfunded it reaches </w:t>
      </w:r>
      <w:r>
        <w:rPr>
          <w:rFonts w:ascii="Arial" w:cs="Arial" w:eastAsia="Arial" w:hAnsi="Arial"/>
          <w:b/>
          <w:bCs/>
          <w:sz w:val="18"/>
          <w:szCs w:val="18"/>
        </w:rPr>
        <w:t xml:space="preserve">$545M by 2035</w:t>
      </w:r>
      <w:r>
        <w:rPr>
          <w:rFonts w:ascii="Arial" w:cs="Arial" w:eastAsia="Arial" w:hAnsi="Arial"/>
          <w:sz w:val="18"/>
          <w:szCs w:val="18"/>
        </w:rPr>
        <w:t xml:space="preserve">. Investing about $90M over five years averts roughly </w:t>
      </w:r>
      <w:r>
        <w:rPr>
          <w:rFonts w:ascii="Arial" w:cs="Arial" w:eastAsia="Arial" w:hAnsi="Arial"/>
          <w:b/>
          <w:bCs/>
          <w:sz w:val="18"/>
          <w:szCs w:val="18"/>
        </w:rPr>
        <w:t xml:space="preserve">$278M</w:t>
      </w:r>
      <w:r>
        <w:rPr>
          <w:rFonts w:ascii="Arial" w:cs="Arial" w:eastAsia="Arial" w:hAnsi="Arial"/>
          <w:sz w:val="18"/>
          <w:szCs w:val="18"/>
        </w:rPr>
        <w:t xml:space="preserve"> of future backlog — about </w:t>
      </w:r>
      <w:r>
        <w:rPr>
          <w:rFonts w:ascii="Arial" w:cs="Arial" w:eastAsia="Arial" w:hAnsi="Arial"/>
          <w:b/>
          <w:bCs/>
          <w:sz w:val="18"/>
          <w:szCs w:val="18"/>
        </w:rPr>
        <w:t xml:space="preserve">$3 saved for every $1 spent</w:t>
      </w:r>
      <w:r>
        <w:rPr>
          <w:rFonts w:ascii="Arial" w:cs="Arial" w:eastAsia="Arial" w:hAnsi="Arial"/>
          <w:sz w:val="18"/>
          <w:szCs w:val="18"/>
        </w:rPr>
        <w:t xml:space="preserve"> — and even then the network only holds at PCI 57–58, short of “good.” That backlog compounds at roughly </w:t>
      </w:r>
      <w:r>
        <w:rPr>
          <w:rFonts w:ascii="Arial" w:cs="Arial" w:eastAsia="Arial" w:hAnsi="Arial"/>
          <w:b/>
          <w:bCs/>
          <w:sz w:val="18"/>
          <w:szCs w:val="18"/>
        </w:rPr>
        <w:t xml:space="preserve">7% a year</w:t>
      </w:r>
      <w:r>
        <w:rPr>
          <w:rFonts w:ascii="Arial" w:cs="Arial" w:eastAsia="Arial" w:hAnsi="Arial"/>
          <w:sz w:val="18"/>
          <w:szCs w:val="18"/>
        </w:rPr>
        <w:t xml:space="preserve"> — higher than the City's general-obligation borrowing cost of about 4–5%. </w:t>
      </w:r>
      <w:r>
        <w:rPr>
          <w:rFonts w:ascii="Arial" w:cs="Arial" w:eastAsia="Arial" w:hAnsi="Arial"/>
          <w:b/>
          <w:bCs/>
          <w:sz w:val="18"/>
          <w:szCs w:val="18"/>
        </w:rPr>
        <w:t xml:space="preserve">Deferring repair is therefore more expensive than bonding to do it now.</w:t>
      </w:r>
    </w:p>
    <w:p>
      <w:pPr>
        <w:spacing w:after="90"/>
      </w:pPr>
      <w:r>
        <w:rPr>
          <w:rFonts w:ascii="Arial" w:cs="Arial" w:eastAsia="Arial" w:hAnsi="Arial"/>
          <w:i/>
          <w:iCs/>
          <w:color w:val="595959"/>
          <w:sz w:val="16"/>
          <w:szCs w:val="16"/>
        </w:rPr>
        <w:t xml:space="preserve">This same logic recasts the November 2026 measures: a bond is not “new spending,” it is refinancing a ~7% liability (deferral) with ~5% debt. The relevant comparison is bond cost versus deferral cost — which the City does not currently publish.</w:t>
      </w:r>
    </w:p>
    <w:p>
      <w:pPr>
        <w:spacing w:after="70" w:before="200"/>
      </w:pPr>
      <w:r>
        <w:rPr>
          <w:rFonts w:ascii="Arial" w:cs="Arial" w:eastAsia="Arial" w:hAnsi="Arial"/>
          <w:b/>
          <w:bCs/>
          <w:color w:val="1F3864"/>
          <w:sz w:val="22"/>
          <w:szCs w:val="22"/>
        </w:rPr>
        <w:t xml:space="preserve">2b.  The cost of waiting is real for every asset — but shaped differently</w:t>
      </w:r>
    </w:p>
    <w:p>
      <w:pPr>
        <w:spacing w:after="90"/>
      </w:pPr>
      <w:r>
        <w:rPr>
          <w:rFonts w:ascii="Arial" w:cs="Arial" w:eastAsia="Arial" w:hAnsi="Arial"/>
          <w:sz w:val="18"/>
          <w:szCs w:val="18"/>
        </w:rPr>
        <w:t xml:space="preserve">Deferral does not bite the same way everywhere, so prioritization must read each shape. Streets and stormwater </w:t>
      </w:r>
      <w:r>
        <w:rPr>
          <w:rFonts w:ascii="Arial" w:cs="Arial" w:eastAsia="Arial" w:hAnsi="Arial"/>
          <w:b/>
          <w:bCs/>
          <w:sz w:val="18"/>
          <w:szCs w:val="18"/>
        </w:rPr>
        <w:t xml:space="preserve">compound smoothly</w:t>
      </w:r>
      <w:r>
        <w:rPr>
          <w:rFonts w:ascii="Arial" w:cs="Arial" w:eastAsia="Arial" w:hAnsi="Arial"/>
          <w:sz w:val="18"/>
          <w:szCs w:val="18"/>
        </w:rPr>
        <w:t xml:space="preserve">; sewer and facilities fail as a </w:t>
      </w:r>
      <w:r>
        <w:rPr>
          <w:rFonts w:ascii="Arial" w:cs="Arial" w:eastAsia="Arial" w:hAnsi="Arial"/>
          <w:b/>
          <w:bCs/>
          <w:sz w:val="18"/>
          <w:szCs w:val="18"/>
        </w:rPr>
        <w:t xml:space="preserve">legal or physical step-function</w:t>
      </w:r>
      <w:r>
        <w:rPr>
          <w:rFonts w:ascii="Arial" w:cs="Arial" w:eastAsia="Arial" w:hAnsi="Arial"/>
          <w:sz w:val="18"/>
          <w:szCs w:val="18"/>
        </w:rPr>
        <w:t xml:space="preserve"> (a consent-decree deadline, a seismic red-tag); the Marina faces </w:t>
      </w:r>
      <w:r>
        <w:rPr>
          <w:rFonts w:ascii="Arial" w:cs="Arial" w:eastAsia="Arial" w:hAnsi="Arial"/>
          <w:b/>
          <w:bCs/>
          <w:sz w:val="18"/>
          <w:szCs w:val="18"/>
        </w:rPr>
        <w:t xml:space="preserve">revenue collapse and write-off</w:t>
      </w:r>
      <w:r>
        <w:rPr>
          <w:rFonts w:ascii="Arial" w:cs="Arial" w:eastAsia="Arial" w:hAnsi="Arial"/>
          <w:sz w:val="18"/>
          <w:szCs w:val="18"/>
        </w:rPr>
        <w:t xml:space="preserve"> of a self-funding asset. The table below applies the cost-of-waiting logic across the portfolio.</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650"/>
        <w:gridCol w:w="3050"/>
        <w:gridCol w:w="3760"/>
        <w:gridCol w:w="900"/>
      </w:tblGrid>
      <w:tr>
        <w:trPr>
          <w:tblHeader/>
        </w:trPr>
        <w:tc>
          <w:tcPr>
            <w:tcW w:type="dxa" w:w="1650"/>
            <w:tcBorders>
              <w:top w:val="single" w:color="BFBFBF" w:sz="1"/>
              <w:left w:val="single" w:color="BFBFBF" w:sz="1"/>
              <w:bottom w:val="single" w:color="BFBFBF" w:sz="1"/>
              <w:right w:val="single" w:color="BFBFBF" w:sz="1"/>
            </w:tcBorders>
            <w:shd w:fill="1F3864" w:val="clear"/>
            <w:tcMar>
              <w:top w:type="dxa" w:w="50"/>
              <w:left w:type="dxa" w:w="100"/>
              <w:bottom w:type="dxa" w:w="50"/>
              <w:right w:type="dxa" w:w="100"/>
            </w:tcMar>
          </w:tcPr>
          <w:p>
            <w:pPr>
              <w:spacing w:after="0"/>
            </w:pPr>
            <w:r>
              <w:rPr>
                <w:rFonts w:ascii="Arial" w:cs="Arial" w:eastAsia="Arial" w:hAnsi="Arial"/>
                <w:b/>
                <w:bCs/>
                <w:color w:val="FFFFFF"/>
                <w:sz w:val="15"/>
                <w:szCs w:val="15"/>
              </w:rPr>
              <w:t xml:space="preserve">Asset class</w:t>
            </w:r>
          </w:p>
        </w:tc>
        <w:tc>
          <w:tcPr>
            <w:tcW w:type="dxa" w:w="3050"/>
            <w:tcBorders>
              <w:top w:val="single" w:color="BFBFBF" w:sz="1"/>
              <w:left w:val="single" w:color="BFBFBF" w:sz="1"/>
              <w:bottom w:val="single" w:color="BFBFBF" w:sz="1"/>
              <w:right w:val="single" w:color="BFBFBF" w:sz="1"/>
            </w:tcBorders>
            <w:shd w:fill="1F3864" w:val="clear"/>
            <w:tcMar>
              <w:top w:type="dxa" w:w="50"/>
              <w:left w:type="dxa" w:w="100"/>
              <w:bottom w:type="dxa" w:w="50"/>
              <w:right w:type="dxa" w:w="100"/>
            </w:tcMar>
          </w:tcPr>
          <w:p>
            <w:pPr>
              <w:spacing w:after="0"/>
            </w:pPr>
            <w:r>
              <w:rPr>
                <w:rFonts w:ascii="Arial" w:cs="Arial" w:eastAsia="Arial" w:hAnsi="Arial"/>
                <w:b/>
                <w:bCs/>
                <w:color w:val="FFFFFF"/>
                <w:sz w:val="15"/>
                <w:szCs w:val="15"/>
              </w:rPr>
              <w:t xml:space="preserve">If deferred, how it fails</w:t>
            </w:r>
          </w:p>
        </w:tc>
        <w:tc>
          <w:tcPr>
            <w:tcW w:type="dxa" w:w="3760"/>
            <w:tcBorders>
              <w:top w:val="single" w:color="BFBFBF" w:sz="1"/>
              <w:left w:val="single" w:color="BFBFBF" w:sz="1"/>
              <w:bottom w:val="single" w:color="BFBFBF" w:sz="1"/>
              <w:right w:val="single" w:color="BFBFBF" w:sz="1"/>
            </w:tcBorders>
            <w:shd w:fill="1F3864" w:val="clear"/>
            <w:tcMar>
              <w:top w:type="dxa" w:w="50"/>
              <w:left w:type="dxa" w:w="100"/>
              <w:bottom w:type="dxa" w:w="50"/>
              <w:right w:type="dxa" w:w="100"/>
            </w:tcMar>
          </w:tcPr>
          <w:p>
            <w:pPr>
              <w:spacing w:after="0"/>
            </w:pPr>
            <w:r>
              <w:rPr>
                <w:rFonts w:ascii="Arial" w:cs="Arial" w:eastAsia="Arial" w:hAnsi="Arial"/>
                <w:b/>
                <w:bCs/>
                <w:color w:val="FFFFFF"/>
                <w:sz w:val="15"/>
                <w:szCs w:val="15"/>
              </w:rPr>
              <w:t xml:space="preserve">Cost of waiting — what we can say today</w:t>
            </w:r>
          </w:p>
        </w:tc>
        <w:tc>
          <w:tcPr>
            <w:tcW w:type="dxa" w:w="900"/>
            <w:tcBorders>
              <w:top w:val="single" w:color="BFBFBF" w:sz="1"/>
              <w:left w:val="single" w:color="BFBFBF" w:sz="1"/>
              <w:bottom w:val="single" w:color="BFBFBF" w:sz="1"/>
              <w:right w:val="single" w:color="BFBFBF" w:sz="1"/>
            </w:tcBorders>
            <w:shd w:fill="1F3864" w:val="clear"/>
            <w:tcMar>
              <w:top w:type="dxa" w:w="50"/>
              <w:left w:type="dxa" w:w="100"/>
              <w:bottom w:type="dxa" w:w="50"/>
              <w:right w:type="dxa" w:w="100"/>
            </w:tcMar>
          </w:tcPr>
          <w:p>
            <w:pPr>
              <w:spacing w:after="0"/>
              <w:jc w:val="center"/>
            </w:pPr>
            <w:r>
              <w:rPr>
                <w:rFonts w:ascii="Arial" w:cs="Arial" w:eastAsia="Arial" w:hAnsi="Arial"/>
                <w:b/>
                <w:bCs/>
                <w:color w:val="FFFFFF"/>
                <w:sz w:val="15"/>
                <w:szCs w:val="15"/>
              </w:rPr>
              <w:t xml:space="preserve">Conf.</w:t>
            </w:r>
          </w:p>
        </w:tc>
      </w:tr>
      <w:tr>
        <w:tc>
          <w:tcPr>
            <w:tcW w:type="dxa" w:w="1650"/>
            <w:tcBorders>
              <w:top w:val="single" w:color="BFBFBF" w:sz="1"/>
              <w:left w:val="single" w:color="BFBFBF" w:sz="1"/>
              <w:bottom w:val="single" w:color="BFBFBF" w:sz="1"/>
              <w:right w:val="single" w:color="BFBFBF" w:sz="1"/>
            </w:tcBorders>
            <w:tcMar>
              <w:top w:type="dxa" w:w="50"/>
              <w:left w:type="dxa" w:w="100"/>
              <w:bottom w:type="dxa" w:w="50"/>
              <w:right w:type="dxa" w:w="100"/>
            </w:tcMar>
          </w:tcPr>
          <w:p>
            <w:pPr>
              <w:spacing w:after="0"/>
            </w:pPr>
            <w:r>
              <w:rPr>
                <w:rFonts w:ascii="Arial" w:cs="Arial" w:eastAsia="Arial" w:hAnsi="Arial"/>
                <w:b/>
                <w:bCs/>
                <w:sz w:val="15"/>
                <w:szCs w:val="15"/>
              </w:rPr>
              <w:t xml:space="preserve">Streets / pavement</w:t>
            </w:r>
          </w:p>
        </w:tc>
        <w:tc>
          <w:tcPr>
            <w:tcW w:type="dxa" w:w="3050"/>
            <w:tcBorders>
              <w:top w:val="single" w:color="BFBFBF" w:sz="1"/>
              <w:left w:val="single" w:color="BFBFBF" w:sz="1"/>
              <w:bottom w:val="single" w:color="BFBFBF" w:sz="1"/>
              <w:right w:val="single" w:color="BFBFBF" w:sz="1"/>
            </w:tcBorders>
            <w:tcMar>
              <w:top w:type="dxa" w:w="50"/>
              <w:left w:type="dxa" w:w="100"/>
              <w:bottom w:type="dxa" w:w="50"/>
              <w:right w:type="dxa" w:w="100"/>
            </w:tcMar>
          </w:tcPr>
          <w:p>
            <w:pPr>
              <w:spacing w:after="0"/>
            </w:pPr>
            <w:r>
              <w:rPr>
                <w:rFonts w:ascii="Arial" w:cs="Arial" w:eastAsia="Arial" w:hAnsi="Arial"/>
                <w:sz w:val="15"/>
                <w:szCs w:val="15"/>
              </w:rPr>
              <w:t xml:space="preserve">Segments slide past the PCI cliff; cheap seals become full reconstruction</w:t>
            </w:r>
          </w:p>
        </w:tc>
        <w:tc>
          <w:tcPr>
            <w:tcW w:type="dxa" w:w="3760"/>
            <w:tcBorders>
              <w:top w:val="single" w:color="BFBFBF" w:sz="1"/>
              <w:left w:val="single" w:color="BFBFBF" w:sz="1"/>
              <w:bottom w:val="single" w:color="BFBFBF" w:sz="1"/>
              <w:right w:val="single" w:color="BFBFBF" w:sz="1"/>
            </w:tcBorders>
            <w:tcMar>
              <w:top w:type="dxa" w:w="50"/>
              <w:left w:type="dxa" w:w="100"/>
              <w:bottom w:type="dxa" w:w="50"/>
              <w:right w:type="dxa" w:w="100"/>
            </w:tcMar>
          </w:tcPr>
          <w:p>
            <w:pPr>
              <w:spacing w:after="0"/>
            </w:pPr>
            <w:r>
              <w:rPr>
                <w:rFonts w:ascii="Arial" w:cs="Arial" w:eastAsia="Arial" w:hAnsi="Arial"/>
                <w:sz w:val="15"/>
                <w:szCs w:val="15"/>
              </w:rPr>
              <w:t xml:space="preserve">Backlog $250M today → $545M by 2035 (~7%/yr); preventive 4–5× cheaper (FHWA)</w:t>
            </w:r>
          </w:p>
        </w:tc>
        <w:tc>
          <w:tcPr>
            <w:tcW w:type="dxa" w:w="900"/>
            <w:tcBorders>
              <w:top w:val="single" w:color="BFBFBF" w:sz="1"/>
              <w:left w:val="single" w:color="BFBFBF" w:sz="1"/>
              <w:bottom w:val="single" w:color="BFBFBF" w:sz="1"/>
              <w:right w:val="single" w:color="BFBFBF" w:sz="1"/>
            </w:tcBorders>
            <w:tcMar>
              <w:top w:type="dxa" w:w="50"/>
              <w:left w:type="dxa" w:w="100"/>
              <w:bottom w:type="dxa" w:w="50"/>
              <w:right w:type="dxa" w:w="100"/>
            </w:tcMar>
          </w:tcPr>
          <w:p>
            <w:pPr>
              <w:spacing w:after="0"/>
              <w:jc w:val="center"/>
            </w:pPr>
            <w:r>
              <w:rPr>
                <w:rFonts w:ascii="Arial" w:cs="Arial" w:eastAsia="Arial" w:hAnsi="Arial"/>
                <w:sz w:val="15"/>
                <w:szCs w:val="15"/>
              </w:rPr>
              <w:t xml:space="preserve">High</w:t>
            </w:r>
          </w:p>
        </w:tc>
      </w:tr>
      <w:tr>
        <w:tc>
          <w:tcPr>
            <w:tcW w:type="dxa" w:w="1650"/>
            <w:tcBorders>
              <w:top w:val="single" w:color="BFBFBF" w:sz="1"/>
              <w:left w:val="single" w:color="BFBFBF" w:sz="1"/>
              <w:bottom w:val="single" w:color="BFBFBF" w:sz="1"/>
              <w:right w:val="single" w:color="BFBFBF" w:sz="1"/>
            </w:tcBorders>
            <w:tcMar>
              <w:top w:type="dxa" w:w="50"/>
              <w:left w:type="dxa" w:w="100"/>
              <w:bottom w:type="dxa" w:w="50"/>
              <w:right w:type="dxa" w:w="100"/>
            </w:tcMar>
          </w:tcPr>
          <w:p>
            <w:pPr>
              <w:spacing w:after="0"/>
            </w:pPr>
            <w:r>
              <w:rPr>
                <w:rFonts w:ascii="Arial" w:cs="Arial" w:eastAsia="Arial" w:hAnsi="Arial"/>
                <w:b/>
                <w:bCs/>
                <w:sz w:val="15"/>
                <w:szCs w:val="15"/>
              </w:rPr>
              <w:t xml:space="preserve">Sanitary sewer</w:t>
            </w:r>
          </w:p>
        </w:tc>
        <w:tc>
          <w:tcPr>
            <w:tcW w:type="dxa" w:w="3050"/>
            <w:tcBorders>
              <w:top w:val="single" w:color="BFBFBF" w:sz="1"/>
              <w:left w:val="single" w:color="BFBFBF" w:sz="1"/>
              <w:bottom w:val="single" w:color="BFBFBF" w:sz="1"/>
              <w:right w:val="single" w:color="BFBFBF" w:sz="1"/>
            </w:tcBorders>
            <w:tcMar>
              <w:top w:type="dxa" w:w="50"/>
              <w:left w:type="dxa" w:w="100"/>
              <w:bottom w:type="dxa" w:w="50"/>
              <w:right w:type="dxa" w:w="100"/>
            </w:tcMar>
          </w:tcPr>
          <w:p>
            <w:pPr>
              <w:spacing w:after="0"/>
            </w:pPr>
            <w:r>
              <w:rPr>
                <w:rFonts w:ascii="Arial" w:cs="Arial" w:eastAsia="Arial" w:hAnsi="Arial"/>
                <w:sz w:val="15"/>
                <w:szCs w:val="15"/>
              </w:rPr>
              <w:t xml:space="preserve">Overflows; emergency digs run 2–3× planned cost; Bay contamination + fines</w:t>
            </w:r>
          </w:p>
        </w:tc>
        <w:tc>
          <w:tcPr>
            <w:tcW w:type="dxa" w:w="3760"/>
            <w:tcBorders>
              <w:top w:val="single" w:color="BFBFBF" w:sz="1"/>
              <w:left w:val="single" w:color="BFBFBF" w:sz="1"/>
              <w:bottom w:val="single" w:color="BFBFBF" w:sz="1"/>
              <w:right w:val="single" w:color="BFBFBF" w:sz="1"/>
            </w:tcBorders>
            <w:tcMar>
              <w:top w:type="dxa" w:w="50"/>
              <w:left w:type="dxa" w:w="100"/>
              <w:bottom w:type="dxa" w:w="50"/>
              <w:right w:type="dxa" w:w="100"/>
            </w:tcMar>
          </w:tcPr>
          <w:p>
            <w:pPr>
              <w:spacing w:after="0"/>
            </w:pPr>
            <w:r>
              <w:rPr>
                <w:rFonts w:ascii="Arial" w:cs="Arial" w:eastAsia="Arial" w:hAnsi="Arial"/>
                <w:sz w:val="15"/>
                <w:szCs w:val="15"/>
              </w:rPr>
              <w:t xml:space="preserve">Deferral is legally barred — the consent decree (4.2 mi/yr) is itself the lifecycle-optimal answer</w:t>
            </w:r>
          </w:p>
        </w:tc>
        <w:tc>
          <w:tcPr>
            <w:tcW w:type="dxa" w:w="900"/>
            <w:tcBorders>
              <w:top w:val="single" w:color="BFBFBF" w:sz="1"/>
              <w:left w:val="single" w:color="BFBFBF" w:sz="1"/>
              <w:bottom w:val="single" w:color="BFBFBF" w:sz="1"/>
              <w:right w:val="single" w:color="BFBFBF" w:sz="1"/>
            </w:tcBorders>
            <w:tcMar>
              <w:top w:type="dxa" w:w="50"/>
              <w:left w:type="dxa" w:w="100"/>
              <w:bottom w:type="dxa" w:w="50"/>
              <w:right w:type="dxa" w:w="100"/>
            </w:tcMar>
          </w:tcPr>
          <w:p>
            <w:pPr>
              <w:spacing w:after="0"/>
              <w:jc w:val="center"/>
            </w:pPr>
            <w:r>
              <w:rPr>
                <w:rFonts w:ascii="Arial" w:cs="Arial" w:eastAsia="Arial" w:hAnsi="Arial"/>
                <w:sz w:val="15"/>
                <w:szCs w:val="15"/>
              </w:rPr>
              <w:t xml:space="preserve">High</w:t>
            </w:r>
          </w:p>
        </w:tc>
      </w:tr>
      <w:tr>
        <w:tc>
          <w:tcPr>
            <w:tcW w:type="dxa" w:w="1650"/>
            <w:tcBorders>
              <w:top w:val="single" w:color="BFBFBF" w:sz="1"/>
              <w:left w:val="single" w:color="BFBFBF" w:sz="1"/>
              <w:bottom w:val="single" w:color="BFBFBF" w:sz="1"/>
              <w:right w:val="single" w:color="BFBFBF" w:sz="1"/>
            </w:tcBorders>
            <w:tcMar>
              <w:top w:type="dxa" w:w="50"/>
              <w:left w:type="dxa" w:w="100"/>
              <w:bottom w:type="dxa" w:w="50"/>
              <w:right w:type="dxa" w:w="100"/>
            </w:tcMar>
          </w:tcPr>
          <w:p>
            <w:pPr>
              <w:spacing w:after="0"/>
            </w:pPr>
            <w:r>
              <w:rPr>
                <w:rFonts w:ascii="Arial" w:cs="Arial" w:eastAsia="Arial" w:hAnsi="Arial"/>
                <w:b/>
                <w:bCs/>
                <w:sz w:val="15"/>
                <w:szCs w:val="15"/>
              </w:rPr>
              <w:t xml:space="preserve">Stormwater</w:t>
            </w:r>
          </w:p>
        </w:tc>
        <w:tc>
          <w:tcPr>
            <w:tcW w:type="dxa" w:w="3050"/>
            <w:tcBorders>
              <w:top w:val="single" w:color="BFBFBF" w:sz="1"/>
              <w:left w:val="single" w:color="BFBFBF" w:sz="1"/>
              <w:bottom w:val="single" w:color="BFBFBF" w:sz="1"/>
              <w:right w:val="single" w:color="BFBFBF" w:sz="1"/>
            </w:tcBorders>
            <w:tcMar>
              <w:top w:type="dxa" w:w="50"/>
              <w:left w:type="dxa" w:w="100"/>
              <w:bottom w:type="dxa" w:w="50"/>
              <w:right w:type="dxa" w:w="100"/>
            </w:tcMar>
          </w:tcPr>
          <w:p>
            <w:pPr>
              <w:spacing w:after="0"/>
            </w:pPr>
            <w:r>
              <w:rPr>
                <w:rFonts w:ascii="Arial" w:cs="Arial" w:eastAsia="Arial" w:hAnsi="Arial"/>
                <w:sz w:val="15"/>
                <w:szCs w:val="15"/>
              </w:rPr>
              <w:t xml:space="preserve">Urban flooding, property-damage claims, permit (MRP) violations</w:t>
            </w:r>
          </w:p>
        </w:tc>
        <w:tc>
          <w:tcPr>
            <w:tcW w:type="dxa" w:w="3760"/>
            <w:tcBorders>
              <w:top w:val="single" w:color="BFBFBF" w:sz="1"/>
              <w:left w:val="single" w:color="BFBFBF" w:sz="1"/>
              <w:bottom w:val="single" w:color="BFBFBF" w:sz="1"/>
              <w:right w:val="single" w:color="BFBFBF" w:sz="1"/>
            </w:tcBorders>
            <w:tcMar>
              <w:top w:type="dxa" w:w="50"/>
              <w:left w:type="dxa" w:w="100"/>
              <w:bottom w:type="dxa" w:w="50"/>
              <w:right w:type="dxa" w:w="100"/>
            </w:tcMar>
          </w:tcPr>
          <w:p>
            <w:pPr>
              <w:spacing w:after="0"/>
            </w:pPr>
            <w:r>
              <w:rPr>
                <w:rFonts w:ascii="Arial" w:cs="Arial" w:eastAsia="Arial" w:hAnsi="Arial"/>
                <w:sz w:val="15"/>
                <w:szCs w:val="15"/>
              </w:rPr>
              <w:t xml:space="preserve">$208M need funded at ~$2.3M/yr from a fee unchanged since the 1990s — gap widens yearly</w:t>
            </w:r>
          </w:p>
        </w:tc>
        <w:tc>
          <w:tcPr>
            <w:tcW w:type="dxa" w:w="900"/>
            <w:tcBorders>
              <w:top w:val="single" w:color="BFBFBF" w:sz="1"/>
              <w:left w:val="single" w:color="BFBFBF" w:sz="1"/>
              <w:bottom w:val="single" w:color="BFBFBF" w:sz="1"/>
              <w:right w:val="single" w:color="BFBFBF" w:sz="1"/>
            </w:tcBorders>
            <w:tcMar>
              <w:top w:type="dxa" w:w="50"/>
              <w:left w:type="dxa" w:w="100"/>
              <w:bottom w:type="dxa" w:w="50"/>
              <w:right w:type="dxa" w:w="100"/>
            </w:tcMar>
          </w:tcPr>
          <w:p>
            <w:pPr>
              <w:spacing w:after="0"/>
              <w:jc w:val="center"/>
            </w:pPr>
            <w:r>
              <w:rPr>
                <w:rFonts w:ascii="Arial" w:cs="Arial" w:eastAsia="Arial" w:hAnsi="Arial"/>
                <w:sz w:val="15"/>
                <w:szCs w:val="15"/>
              </w:rPr>
              <w:t xml:space="preserve">Mod</w:t>
            </w:r>
          </w:p>
        </w:tc>
      </w:tr>
      <w:tr>
        <w:tc>
          <w:tcPr>
            <w:tcW w:type="dxa" w:w="1650"/>
            <w:tcBorders>
              <w:top w:val="single" w:color="BFBFBF" w:sz="1"/>
              <w:left w:val="single" w:color="BFBFBF" w:sz="1"/>
              <w:bottom w:val="single" w:color="BFBFBF" w:sz="1"/>
              <w:right w:val="single" w:color="BFBFBF" w:sz="1"/>
            </w:tcBorders>
            <w:tcMar>
              <w:top w:type="dxa" w:w="50"/>
              <w:left w:type="dxa" w:w="100"/>
              <w:bottom w:type="dxa" w:w="50"/>
              <w:right w:type="dxa" w:w="100"/>
            </w:tcMar>
          </w:tcPr>
          <w:p>
            <w:pPr>
              <w:spacing w:after="0"/>
            </w:pPr>
            <w:r>
              <w:rPr>
                <w:rFonts w:ascii="Arial" w:cs="Arial" w:eastAsia="Arial" w:hAnsi="Arial"/>
                <w:b/>
                <w:bCs/>
                <w:sz w:val="15"/>
                <w:szCs w:val="15"/>
              </w:rPr>
              <w:t xml:space="preserve">Marina / Waterfront</w:t>
            </w:r>
          </w:p>
        </w:tc>
        <w:tc>
          <w:tcPr>
            <w:tcW w:type="dxa" w:w="3050"/>
            <w:tcBorders>
              <w:top w:val="single" w:color="BFBFBF" w:sz="1"/>
              <w:left w:val="single" w:color="BFBFBF" w:sz="1"/>
              <w:bottom w:val="single" w:color="BFBFBF" w:sz="1"/>
              <w:right w:val="single" w:color="BFBFBF" w:sz="1"/>
            </w:tcBorders>
            <w:tcMar>
              <w:top w:type="dxa" w:w="50"/>
              <w:left w:type="dxa" w:w="100"/>
              <w:bottom w:type="dxa" w:w="50"/>
              <w:right w:type="dxa" w:w="100"/>
            </w:tcMar>
          </w:tcPr>
          <w:p>
            <w:pPr>
              <w:spacing w:after="0"/>
            </w:pPr>
            <w:r>
              <w:rPr>
                <w:rFonts w:ascii="Arial" w:cs="Arial" w:eastAsia="Arial" w:hAnsi="Arial"/>
                <w:sz w:val="15"/>
                <w:szCs w:val="15"/>
              </w:rPr>
              <w:t xml:space="preserve">Docks/pilings fail → berths close → revenue collapses → asset written off</w:t>
            </w:r>
          </w:p>
        </w:tc>
        <w:tc>
          <w:tcPr>
            <w:tcW w:type="dxa" w:w="3760"/>
            <w:tcBorders>
              <w:top w:val="single" w:color="BFBFBF" w:sz="1"/>
              <w:left w:val="single" w:color="BFBFBF" w:sz="1"/>
              <w:bottom w:val="single" w:color="BFBFBF" w:sz="1"/>
              <w:right w:val="single" w:color="BFBFBF" w:sz="1"/>
            </w:tcBorders>
            <w:tcMar>
              <w:top w:type="dxa" w:w="50"/>
              <w:left w:type="dxa" w:w="100"/>
              <w:bottom w:type="dxa" w:w="50"/>
              <w:right w:type="dxa" w:w="100"/>
            </w:tcMar>
          </w:tcPr>
          <w:p>
            <w:pPr>
              <w:spacing w:after="0"/>
            </w:pPr>
            <w:r>
              <w:rPr>
                <w:rFonts w:ascii="Arial" w:cs="Arial" w:eastAsia="Arial" w:hAnsi="Arial"/>
                <w:sz w:val="15"/>
                <w:szCs w:val="15"/>
              </w:rPr>
              <w:t xml:space="preserve">Already failing: occupancy down to 78%, $131M unfunded, $1.3M/yr deficit. Loss of a self-funding asset</w:t>
            </w:r>
          </w:p>
        </w:tc>
        <w:tc>
          <w:tcPr>
            <w:tcW w:type="dxa" w:w="900"/>
            <w:tcBorders>
              <w:top w:val="single" w:color="BFBFBF" w:sz="1"/>
              <w:left w:val="single" w:color="BFBFBF" w:sz="1"/>
              <w:bottom w:val="single" w:color="BFBFBF" w:sz="1"/>
              <w:right w:val="single" w:color="BFBFBF" w:sz="1"/>
            </w:tcBorders>
            <w:tcMar>
              <w:top w:type="dxa" w:w="50"/>
              <w:left w:type="dxa" w:w="100"/>
              <w:bottom w:type="dxa" w:w="50"/>
              <w:right w:type="dxa" w:w="100"/>
            </w:tcMar>
          </w:tcPr>
          <w:p>
            <w:pPr>
              <w:spacing w:after="0"/>
              <w:jc w:val="center"/>
            </w:pPr>
            <w:r>
              <w:rPr>
                <w:rFonts w:ascii="Arial" w:cs="Arial" w:eastAsia="Arial" w:hAnsi="Arial"/>
                <w:sz w:val="15"/>
                <w:szCs w:val="15"/>
              </w:rPr>
              <w:t xml:space="preserve">High</w:t>
            </w:r>
          </w:p>
        </w:tc>
      </w:tr>
      <w:tr>
        <w:tc>
          <w:tcPr>
            <w:tcW w:type="dxa" w:w="1650"/>
            <w:tcBorders>
              <w:top w:val="single" w:color="BFBFBF" w:sz="1"/>
              <w:left w:val="single" w:color="BFBFBF" w:sz="1"/>
              <w:bottom w:val="single" w:color="BFBFBF" w:sz="1"/>
              <w:right w:val="single" w:color="BFBFBF" w:sz="1"/>
            </w:tcBorders>
            <w:tcMar>
              <w:top w:type="dxa" w:w="50"/>
              <w:left w:type="dxa" w:w="100"/>
              <w:bottom w:type="dxa" w:w="50"/>
              <w:right w:type="dxa" w:w="100"/>
            </w:tcMar>
          </w:tcPr>
          <w:p>
            <w:pPr>
              <w:spacing w:after="0"/>
            </w:pPr>
            <w:r>
              <w:rPr>
                <w:rFonts w:ascii="Arial" w:cs="Arial" w:eastAsia="Arial" w:hAnsi="Arial"/>
                <w:b/>
                <w:bCs/>
                <w:sz w:val="15"/>
                <w:szCs w:val="15"/>
              </w:rPr>
              <w:t xml:space="preserve">Facilities / Civic Center</w:t>
            </w:r>
          </w:p>
        </w:tc>
        <w:tc>
          <w:tcPr>
            <w:tcW w:type="dxa" w:w="3050"/>
            <w:tcBorders>
              <w:top w:val="single" w:color="BFBFBF" w:sz="1"/>
              <w:left w:val="single" w:color="BFBFBF" w:sz="1"/>
              <w:bottom w:val="single" w:color="BFBFBF" w:sz="1"/>
              <w:right w:val="single" w:color="BFBFBF" w:sz="1"/>
            </w:tcBorders>
            <w:tcMar>
              <w:top w:type="dxa" w:w="50"/>
              <w:left w:type="dxa" w:w="100"/>
              <w:bottom w:type="dxa" w:w="50"/>
              <w:right w:type="dxa" w:w="100"/>
            </w:tcMar>
          </w:tcPr>
          <w:p>
            <w:pPr>
              <w:spacing w:after="0"/>
            </w:pPr>
            <w:r>
              <w:rPr>
                <w:rFonts w:ascii="Arial" w:cs="Arial" w:eastAsia="Arial" w:hAnsi="Arial"/>
                <w:sz w:val="15"/>
                <w:szCs w:val="15"/>
              </w:rPr>
              <w:t xml:space="preserve">Seismic red-tag / forced closure; catastrophic loss in an earthquake</w:t>
            </w:r>
          </w:p>
        </w:tc>
        <w:tc>
          <w:tcPr>
            <w:tcW w:type="dxa" w:w="3760"/>
            <w:tcBorders>
              <w:top w:val="single" w:color="BFBFBF" w:sz="1"/>
              <w:left w:val="single" w:color="BFBFBF" w:sz="1"/>
              <w:bottom w:val="single" w:color="BFBFBF" w:sz="1"/>
              <w:right w:val="single" w:color="BFBFBF" w:sz="1"/>
            </w:tcBorders>
            <w:tcMar>
              <w:top w:type="dxa" w:w="50"/>
              <w:left w:type="dxa" w:w="100"/>
              <w:bottom w:type="dxa" w:w="50"/>
              <w:right w:type="dxa" w:w="100"/>
            </w:tcMar>
          </w:tcPr>
          <w:p>
            <w:pPr>
              <w:spacing w:after="0"/>
            </w:pPr>
            <w:r>
              <w:rPr>
                <w:rFonts w:ascii="Arial" w:cs="Arial" w:eastAsia="Arial" w:hAnsi="Arial"/>
                <w:sz w:val="15"/>
                <w:szCs w:val="15"/>
              </w:rPr>
              <w:t xml:space="preserve">Civic Center seismic ~$50M; citywide unknown — there is no Facilities Condition Assessment</w:t>
            </w:r>
          </w:p>
        </w:tc>
        <w:tc>
          <w:tcPr>
            <w:tcW w:type="dxa" w:w="900"/>
            <w:tcBorders>
              <w:top w:val="single" w:color="BFBFBF" w:sz="1"/>
              <w:left w:val="single" w:color="BFBFBF" w:sz="1"/>
              <w:bottom w:val="single" w:color="BFBFBF" w:sz="1"/>
              <w:right w:val="single" w:color="BFBFBF" w:sz="1"/>
            </w:tcBorders>
            <w:tcMar>
              <w:top w:type="dxa" w:w="50"/>
              <w:left w:type="dxa" w:w="100"/>
              <w:bottom w:type="dxa" w:w="50"/>
              <w:right w:type="dxa" w:w="100"/>
            </w:tcMar>
          </w:tcPr>
          <w:p>
            <w:pPr>
              <w:spacing w:after="0"/>
              <w:jc w:val="center"/>
            </w:pPr>
            <w:r>
              <w:rPr>
                <w:rFonts w:ascii="Arial" w:cs="Arial" w:eastAsia="Arial" w:hAnsi="Arial"/>
                <w:sz w:val="15"/>
                <w:szCs w:val="15"/>
              </w:rPr>
              <w:t xml:space="preserve">Low $</w:t>
            </w:r>
          </w:p>
        </w:tc>
      </w:tr>
      <w:tr>
        <w:tc>
          <w:tcPr>
            <w:tcW w:type="dxa" w:w="1650"/>
            <w:tcBorders>
              <w:top w:val="single" w:color="BFBFBF" w:sz="1"/>
              <w:left w:val="single" w:color="BFBFBF" w:sz="1"/>
              <w:bottom w:val="single" w:color="BFBFBF" w:sz="1"/>
              <w:right w:val="single" w:color="BFBFBF" w:sz="1"/>
            </w:tcBorders>
            <w:tcMar>
              <w:top w:type="dxa" w:w="50"/>
              <w:left w:type="dxa" w:w="100"/>
              <w:bottom w:type="dxa" w:w="50"/>
              <w:right w:type="dxa" w:w="100"/>
            </w:tcMar>
          </w:tcPr>
          <w:p>
            <w:pPr>
              <w:spacing w:after="0"/>
            </w:pPr>
            <w:r>
              <w:rPr>
                <w:rFonts w:ascii="Arial" w:cs="Arial" w:eastAsia="Arial" w:hAnsi="Arial"/>
                <w:b/>
                <w:bCs/>
                <w:sz w:val="15"/>
                <w:szCs w:val="15"/>
              </w:rPr>
              <w:t xml:space="preserve">IT systems</w:t>
            </w:r>
          </w:p>
        </w:tc>
        <w:tc>
          <w:tcPr>
            <w:tcW w:type="dxa" w:w="3050"/>
            <w:tcBorders>
              <w:top w:val="single" w:color="BFBFBF" w:sz="1"/>
              <w:left w:val="single" w:color="BFBFBF" w:sz="1"/>
              <w:bottom w:val="single" w:color="BFBFBF" w:sz="1"/>
              <w:right w:val="single" w:color="BFBFBF" w:sz="1"/>
            </w:tcBorders>
            <w:tcMar>
              <w:top w:type="dxa" w:w="50"/>
              <w:left w:type="dxa" w:w="100"/>
              <w:bottom w:type="dxa" w:w="50"/>
              <w:right w:type="dxa" w:w="100"/>
            </w:tcMar>
          </w:tcPr>
          <w:p>
            <w:pPr>
              <w:spacing w:after="0"/>
            </w:pPr>
            <w:r>
              <w:rPr>
                <w:rFonts w:ascii="Arial" w:cs="Arial" w:eastAsia="Arial" w:hAnsi="Arial"/>
                <w:sz w:val="15"/>
                <w:szCs w:val="15"/>
              </w:rPr>
              <w:t xml:space="preserve">Outage or breach of mission-critical systems (Fire HQ, 311, permitting)</w:t>
            </w:r>
          </w:p>
        </w:tc>
        <w:tc>
          <w:tcPr>
            <w:tcW w:type="dxa" w:w="3760"/>
            <w:tcBorders>
              <w:top w:val="single" w:color="BFBFBF" w:sz="1"/>
              <w:left w:val="single" w:color="BFBFBF" w:sz="1"/>
              <w:bottom w:val="single" w:color="BFBFBF" w:sz="1"/>
              <w:right w:val="single" w:color="BFBFBF" w:sz="1"/>
            </w:tcBorders>
            <w:tcMar>
              <w:top w:type="dxa" w:w="50"/>
              <w:left w:type="dxa" w:w="100"/>
              <w:bottom w:type="dxa" w:w="50"/>
              <w:right w:type="dxa" w:w="100"/>
            </w:tcMar>
          </w:tcPr>
          <w:p>
            <w:pPr>
              <w:spacing w:after="0"/>
            </w:pPr>
            <w:r>
              <w:rPr>
                <w:rFonts w:ascii="Arial" w:cs="Arial" w:eastAsia="Arial" w:hAnsi="Arial"/>
                <w:sz w:val="15"/>
                <w:szCs w:val="15"/>
              </w:rPr>
              <w:t xml:space="preserve">$7.2M of projects already deferred to FY2029+; $22.6M unfunded</w:t>
            </w:r>
          </w:p>
        </w:tc>
        <w:tc>
          <w:tcPr>
            <w:tcW w:type="dxa" w:w="900"/>
            <w:tcBorders>
              <w:top w:val="single" w:color="BFBFBF" w:sz="1"/>
              <w:left w:val="single" w:color="BFBFBF" w:sz="1"/>
              <w:bottom w:val="single" w:color="BFBFBF" w:sz="1"/>
              <w:right w:val="single" w:color="BFBFBF" w:sz="1"/>
            </w:tcBorders>
            <w:tcMar>
              <w:top w:type="dxa" w:w="50"/>
              <w:left w:type="dxa" w:w="100"/>
              <w:bottom w:type="dxa" w:w="50"/>
              <w:right w:type="dxa" w:w="100"/>
            </w:tcMar>
          </w:tcPr>
          <w:p>
            <w:pPr>
              <w:spacing w:after="0"/>
              <w:jc w:val="center"/>
            </w:pPr>
            <w:r>
              <w:rPr>
                <w:rFonts w:ascii="Arial" w:cs="Arial" w:eastAsia="Arial" w:hAnsi="Arial"/>
                <w:sz w:val="15"/>
                <w:szCs w:val="15"/>
              </w:rPr>
              <w:t xml:space="preserve">Mod</w:t>
            </w:r>
          </w:p>
        </w:tc>
      </w:tr>
      <w:tr>
        <w:tc>
          <w:tcPr>
            <w:tcW w:type="dxa" w:w="1650"/>
            <w:tcBorders>
              <w:top w:val="single" w:color="BFBFBF" w:sz="1"/>
              <w:left w:val="single" w:color="BFBFBF" w:sz="1"/>
              <w:bottom w:val="single" w:color="BFBFBF" w:sz="1"/>
              <w:right w:val="single" w:color="BFBFBF" w:sz="1"/>
            </w:tcBorders>
            <w:tcMar>
              <w:top w:type="dxa" w:w="50"/>
              <w:left w:type="dxa" w:w="100"/>
              <w:bottom w:type="dxa" w:w="50"/>
              <w:right w:type="dxa" w:w="100"/>
            </w:tcMar>
          </w:tcPr>
          <w:p>
            <w:pPr>
              <w:spacing w:after="0"/>
            </w:pPr>
            <w:r>
              <w:rPr>
                <w:rFonts w:ascii="Arial" w:cs="Arial" w:eastAsia="Arial" w:hAnsi="Arial"/>
                <w:b/>
                <w:bCs/>
                <w:sz w:val="15"/>
                <w:szCs w:val="15"/>
              </w:rPr>
              <w:t xml:space="preserve">Parks, fleet,</w:t>
            </w:r>
          </w:p>
          <w:p>
            <w:pPr>
              <w:spacing w:after="0"/>
            </w:pPr>
            <w:r>
              <w:rPr>
                <w:rFonts w:ascii="Arial" w:cs="Arial" w:eastAsia="Arial" w:hAnsi="Arial"/>
                <w:b/>
                <w:bCs/>
                <w:sz w:val="15"/>
                <w:szCs w:val="15"/>
              </w:rPr>
              <w:t xml:space="preserve">streetlights, trees</w:t>
            </w:r>
          </w:p>
        </w:tc>
        <w:tc>
          <w:tcPr>
            <w:tcW w:type="dxa" w:w="3050"/>
            <w:tcBorders>
              <w:top w:val="single" w:color="BFBFBF" w:sz="1"/>
              <w:left w:val="single" w:color="BFBFBF" w:sz="1"/>
              <w:bottom w:val="single" w:color="BFBFBF" w:sz="1"/>
              <w:right w:val="single" w:color="BFBFBF" w:sz="1"/>
            </w:tcBorders>
            <w:tcMar>
              <w:top w:type="dxa" w:w="50"/>
              <w:left w:type="dxa" w:w="100"/>
              <w:bottom w:type="dxa" w:w="50"/>
              <w:right w:type="dxa" w:w="100"/>
            </w:tcMar>
          </w:tcPr>
          <w:p>
            <w:pPr>
              <w:spacing w:after="0"/>
            </w:pPr>
            <w:r>
              <w:rPr>
                <w:rFonts w:ascii="Arial" w:cs="Arial" w:eastAsia="Arial" w:hAnsi="Arial"/>
                <w:sz w:val="15"/>
                <w:szCs w:val="15"/>
              </w:rPr>
              <w:t xml:space="preserve">Service failures, safety incidents (falling limbs, breakdowns), higher unit repair</w:t>
            </w:r>
          </w:p>
        </w:tc>
        <w:tc>
          <w:tcPr>
            <w:tcW w:type="dxa" w:w="3760"/>
            <w:tcBorders>
              <w:top w:val="single" w:color="BFBFBF" w:sz="1"/>
              <w:left w:val="single" w:color="BFBFBF" w:sz="1"/>
              <w:bottom w:val="single" w:color="BFBFBF" w:sz="1"/>
              <w:right w:val="single" w:color="BFBFBF" w:sz="1"/>
            </w:tcBorders>
            <w:tcMar>
              <w:top w:type="dxa" w:w="50"/>
              <w:left w:type="dxa" w:w="100"/>
              <w:bottom w:type="dxa" w:w="50"/>
              <w:right w:type="dxa" w:w="100"/>
            </w:tcMar>
          </w:tcPr>
          <w:p>
            <w:pPr>
              <w:spacing w:after="0"/>
            </w:pPr>
            <w:r>
              <w:rPr>
                <w:rFonts w:ascii="Arial" w:cs="Arial" w:eastAsia="Arial" w:hAnsi="Arial"/>
                <w:sz w:val="15"/>
                <w:szCs w:val="15"/>
              </w:rPr>
              <w:t xml:space="preserve">Not quantifiable — no condition or lifecycle data exists</w:t>
            </w:r>
          </w:p>
        </w:tc>
        <w:tc>
          <w:tcPr>
            <w:tcW w:type="dxa" w:w="900"/>
            <w:tcBorders>
              <w:top w:val="single" w:color="BFBFBF" w:sz="1"/>
              <w:left w:val="single" w:color="BFBFBF" w:sz="1"/>
              <w:bottom w:val="single" w:color="BFBFBF" w:sz="1"/>
              <w:right w:val="single" w:color="BFBFBF" w:sz="1"/>
            </w:tcBorders>
            <w:tcMar>
              <w:top w:type="dxa" w:w="50"/>
              <w:left w:type="dxa" w:w="100"/>
              <w:bottom w:type="dxa" w:w="50"/>
              <w:right w:type="dxa" w:w="100"/>
            </w:tcMar>
          </w:tcPr>
          <w:p>
            <w:pPr>
              <w:spacing w:after="0"/>
              <w:jc w:val="center"/>
            </w:pPr>
            <w:r>
              <w:rPr>
                <w:rFonts w:ascii="Arial" w:cs="Arial" w:eastAsia="Arial" w:hAnsi="Arial"/>
                <w:sz w:val="15"/>
                <w:szCs w:val="15"/>
              </w:rPr>
              <w:t xml:space="preserve">Low</w:t>
            </w:r>
          </w:p>
        </w:tc>
      </w:tr>
    </w:tbl>
    <w:p>
      <w:pPr>
        <w:spacing w:before="60"/>
      </w:pPr>
      <w:r>
        <w:rPr>
          <w:rFonts w:ascii="Arial" w:cs="Arial" w:eastAsia="Arial" w:hAnsi="Arial"/>
          <w:i/>
          <w:iCs/>
          <w:color w:val="595959"/>
          <w:sz w:val="16"/>
          <w:szCs w:val="16"/>
        </w:rPr>
        <w:t xml:space="preserve">The pattern is the point: only streets can be reduced to a hard number today — because only streets has a condition database. Every other line is a failure mode we can describe but not yet price. That is precisely the gap Sections 3 and 5 close.</w:t>
      </w:r>
    </w:p>
    <w:p>
      <w:pPr>
        <w:spacing w:after="70" w:before="200"/>
      </w:pPr>
      <w:r>
        <w:rPr>
          <w:rFonts w:ascii="Arial" w:cs="Arial" w:eastAsia="Arial" w:hAnsi="Arial"/>
          <w:b/>
          <w:bCs/>
          <w:color w:val="1F3864"/>
          <w:sz w:val="22"/>
          <w:szCs w:val="22"/>
        </w:rPr>
        <w:t xml:space="preserve">3.  Why the Council cannot do this today — the data gap</w:t>
      </w:r>
    </w:p>
    <w:p>
      <w:pPr>
        <w:spacing w:after="90"/>
      </w:pPr>
      <w:r>
        <w:rPr>
          <w:rFonts w:ascii="Arial" w:cs="Arial" w:eastAsia="Arial" w:hAnsi="Arial"/>
          <w:sz w:val="18"/>
          <w:szCs w:val="18"/>
        </w:rPr>
        <w:t xml:space="preserve">TCO and deferral cost can only be computed where the City knows what it owns, its condition, and its unit costs. Today that exists for streets and partially for sewers; for most asset classes it does not. The streets/StreetSaver database is the template; the task is to extend it to every asset.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00"/>
        <w:gridCol w:w="1500"/>
        <w:gridCol w:w="5560"/>
      </w:tblGrid>
      <w:tr>
        <w:trPr>
          <w:tblHeader/>
        </w:trPr>
        <w:tc>
          <w:tcPr>
            <w:tcW w:type="dxa" w:w="2300"/>
            <w:tcBorders>
              <w:top w:val="single" w:color="BFBFBF" w:sz="1"/>
              <w:left w:val="single" w:color="BFBFBF" w:sz="1"/>
              <w:bottom w:val="single" w:color="BFBFBF" w:sz="1"/>
              <w:right w:val="single" w:color="BFBFBF" w:sz="1"/>
            </w:tcBorders>
            <w:shd w:fill="1F3864" w:val="clear"/>
            <w:tcMar>
              <w:top w:type="dxa" w:w="50"/>
              <w:left w:type="dxa" w:w="100"/>
              <w:bottom w:type="dxa" w:w="50"/>
              <w:right w:type="dxa" w:w="100"/>
            </w:tcMar>
          </w:tcPr>
          <w:p>
            <w:pPr>
              <w:spacing w:after="0"/>
            </w:pPr>
            <w:r>
              <w:rPr>
                <w:rFonts w:ascii="Arial" w:cs="Arial" w:eastAsia="Arial" w:hAnsi="Arial"/>
                <w:b/>
                <w:bCs/>
                <w:color w:val="FFFFFF"/>
                <w:sz w:val="16"/>
                <w:szCs w:val="16"/>
              </w:rPr>
              <w:t xml:space="preserve">Asset class</w:t>
            </w:r>
          </w:p>
        </w:tc>
        <w:tc>
          <w:tcPr>
            <w:tcW w:type="dxa" w:w="1500"/>
            <w:tcBorders>
              <w:top w:val="single" w:color="BFBFBF" w:sz="1"/>
              <w:left w:val="single" w:color="BFBFBF" w:sz="1"/>
              <w:bottom w:val="single" w:color="BFBFBF" w:sz="1"/>
              <w:right w:val="single" w:color="BFBFBF" w:sz="1"/>
            </w:tcBorders>
            <w:shd w:fill="1F3864" w:val="clear"/>
            <w:tcMar>
              <w:top w:type="dxa" w:w="50"/>
              <w:left w:type="dxa" w:w="100"/>
              <w:bottom w:type="dxa" w:w="50"/>
              <w:right w:type="dxa" w:w="100"/>
            </w:tcMar>
          </w:tcPr>
          <w:p>
            <w:pPr>
              <w:spacing w:after="0"/>
            </w:pPr>
            <w:r>
              <w:rPr>
                <w:rFonts w:ascii="Arial" w:cs="Arial" w:eastAsia="Arial" w:hAnsi="Arial"/>
                <w:b/>
                <w:bCs/>
                <w:color w:val="FFFFFF"/>
                <w:sz w:val="16"/>
                <w:szCs w:val="16"/>
              </w:rPr>
              <w:t xml:space="preserve">Condition data today</w:t>
            </w:r>
          </w:p>
        </w:tc>
        <w:tc>
          <w:tcPr>
            <w:tcW w:type="dxa" w:w="5560"/>
            <w:tcBorders>
              <w:top w:val="single" w:color="BFBFBF" w:sz="1"/>
              <w:left w:val="single" w:color="BFBFBF" w:sz="1"/>
              <w:bottom w:val="single" w:color="BFBFBF" w:sz="1"/>
              <w:right w:val="single" w:color="BFBFBF" w:sz="1"/>
            </w:tcBorders>
            <w:shd w:fill="1F3864" w:val="clear"/>
            <w:tcMar>
              <w:top w:type="dxa" w:w="50"/>
              <w:left w:type="dxa" w:w="100"/>
              <w:bottom w:type="dxa" w:w="50"/>
              <w:right w:type="dxa" w:w="100"/>
            </w:tcMar>
          </w:tcPr>
          <w:p>
            <w:pPr>
              <w:spacing w:after="0"/>
            </w:pPr>
            <w:r>
              <w:rPr>
                <w:rFonts w:ascii="Arial" w:cs="Arial" w:eastAsia="Arial" w:hAnsi="Arial"/>
                <w:b/>
                <w:bCs/>
                <w:color w:val="FFFFFF"/>
                <w:sz w:val="16"/>
                <w:szCs w:val="16"/>
              </w:rPr>
              <w:t xml:space="preserve">What must be acquired</w:t>
            </w:r>
          </w:p>
        </w:tc>
      </w:tr>
      <w:tr>
        <w:tc>
          <w:tcPr>
            <w:tcW w:type="dxa" w:w="2300"/>
            <w:tcBorders>
              <w:top w:val="single" w:color="BFBFBF" w:sz="1"/>
              <w:left w:val="single" w:color="BFBFBF" w:sz="1"/>
              <w:bottom w:val="single" w:color="BFBFBF" w:sz="1"/>
              <w:right w:val="single" w:color="BFBFBF" w:sz="1"/>
            </w:tcBorders>
            <w:tcMar>
              <w:top w:type="dxa" w:w="50"/>
              <w:left w:type="dxa" w:w="100"/>
              <w:bottom w:type="dxa" w:w="50"/>
              <w:right w:type="dxa" w:w="100"/>
            </w:tcMar>
          </w:tcPr>
          <w:p>
            <w:pPr>
              <w:spacing w:after="0"/>
            </w:pPr>
            <w:r>
              <w:rPr>
                <w:rFonts w:ascii="Arial" w:cs="Arial" w:eastAsia="Arial" w:hAnsi="Arial"/>
                <w:b/>
                <w:bCs/>
                <w:sz w:val="16"/>
                <w:szCs w:val="16"/>
              </w:rPr>
              <w:t xml:space="preserve">Streets / pavement</w:t>
            </w:r>
          </w:p>
        </w:tc>
        <w:tc>
          <w:tcPr>
            <w:tcW w:type="dxa" w:w="1500"/>
            <w:tcBorders>
              <w:top w:val="single" w:color="BFBFBF" w:sz="1"/>
              <w:left w:val="single" w:color="BFBFBF" w:sz="1"/>
              <w:bottom w:val="single" w:color="BFBFBF" w:sz="1"/>
              <w:right w:val="single" w:color="BFBFBF" w:sz="1"/>
            </w:tcBorders>
            <w:shd w:fill="D9EAD3" w:val="clear"/>
            <w:tcMar>
              <w:top w:type="dxa" w:w="50"/>
              <w:left w:type="dxa" w:w="100"/>
              <w:bottom w:type="dxa" w:w="50"/>
              <w:right w:type="dxa" w:w="100"/>
            </w:tcMar>
          </w:tcPr>
          <w:p>
            <w:pPr>
              <w:spacing w:after="0"/>
            </w:pPr>
            <w:r>
              <w:rPr>
                <w:rFonts w:ascii="Arial" w:cs="Arial" w:eastAsia="Arial" w:hAnsi="Arial"/>
                <w:sz w:val="16"/>
                <w:szCs w:val="16"/>
              </w:rPr>
              <w:t xml:space="preserve">HAVE (PCI 56, StreetSaver)</w:t>
            </w:r>
          </w:p>
        </w:tc>
        <w:tc>
          <w:tcPr>
            <w:tcW w:type="dxa" w:w="5560"/>
            <w:tcBorders>
              <w:top w:val="single" w:color="BFBFBF" w:sz="1"/>
              <w:left w:val="single" w:color="BFBFBF" w:sz="1"/>
              <w:bottom w:val="single" w:color="BFBFBF" w:sz="1"/>
              <w:right w:val="single" w:color="BFBFBF" w:sz="1"/>
            </w:tcBorders>
            <w:tcMar>
              <w:top w:type="dxa" w:w="50"/>
              <w:left w:type="dxa" w:w="100"/>
              <w:bottom w:type="dxa" w:w="50"/>
              <w:right w:type="dxa" w:w="100"/>
            </w:tcMar>
          </w:tcPr>
          <w:p>
            <w:pPr>
              <w:spacing w:after="0"/>
            </w:pPr>
            <w:r>
              <w:rPr>
                <w:rFonts w:ascii="Arial" w:cs="Arial" w:eastAsia="Arial" w:hAnsi="Arial"/>
                <w:sz w:val="16"/>
                <w:szCs w:val="16"/>
              </w:rPr>
              <w:t xml:space="preserve">Already modeled — extend O&amp;M unit costs into full TCO</w:t>
            </w:r>
          </w:p>
        </w:tc>
      </w:tr>
      <w:tr>
        <w:tc>
          <w:tcPr>
            <w:tcW w:type="dxa" w:w="2300"/>
            <w:tcBorders>
              <w:top w:val="single" w:color="BFBFBF" w:sz="1"/>
              <w:left w:val="single" w:color="BFBFBF" w:sz="1"/>
              <w:bottom w:val="single" w:color="BFBFBF" w:sz="1"/>
              <w:right w:val="single" w:color="BFBFBF" w:sz="1"/>
            </w:tcBorders>
            <w:tcMar>
              <w:top w:type="dxa" w:w="50"/>
              <w:left w:type="dxa" w:w="100"/>
              <w:bottom w:type="dxa" w:w="50"/>
              <w:right w:type="dxa" w:w="100"/>
            </w:tcMar>
          </w:tcPr>
          <w:p>
            <w:pPr>
              <w:spacing w:after="0"/>
            </w:pPr>
            <w:r>
              <w:rPr>
                <w:rFonts w:ascii="Arial" w:cs="Arial" w:eastAsia="Arial" w:hAnsi="Arial"/>
                <w:b/>
                <w:bCs/>
                <w:sz w:val="16"/>
                <w:szCs w:val="16"/>
              </w:rPr>
              <w:t xml:space="preserve">Sanitary sewer</w:t>
            </w:r>
          </w:p>
        </w:tc>
        <w:tc>
          <w:tcPr>
            <w:tcW w:type="dxa" w:w="1500"/>
            <w:tcBorders>
              <w:top w:val="single" w:color="BFBFBF" w:sz="1"/>
              <w:left w:val="single" w:color="BFBFBF" w:sz="1"/>
              <w:bottom w:val="single" w:color="BFBFBF" w:sz="1"/>
              <w:right w:val="single" w:color="BFBFBF" w:sz="1"/>
            </w:tcBorders>
            <w:shd w:fill="FFF2CC" w:val="clear"/>
            <w:tcMar>
              <w:top w:type="dxa" w:w="50"/>
              <w:left w:type="dxa" w:w="100"/>
              <w:bottom w:type="dxa" w:w="50"/>
              <w:right w:type="dxa" w:w="100"/>
            </w:tcMar>
          </w:tcPr>
          <w:p>
            <w:pPr>
              <w:spacing w:after="0"/>
            </w:pPr>
            <w:r>
              <w:rPr>
                <w:rFonts w:ascii="Arial" w:cs="Arial" w:eastAsia="Arial" w:hAnsi="Arial"/>
                <w:sz w:val="16"/>
                <w:szCs w:val="16"/>
              </w:rPr>
              <w:t xml:space="preserve">PARTIAL (CCTV)</w:t>
            </w:r>
          </w:p>
        </w:tc>
        <w:tc>
          <w:tcPr>
            <w:tcW w:type="dxa" w:w="5560"/>
            <w:tcBorders>
              <w:top w:val="single" w:color="BFBFBF" w:sz="1"/>
              <w:left w:val="single" w:color="BFBFBF" w:sz="1"/>
              <w:bottom w:val="single" w:color="BFBFBF" w:sz="1"/>
              <w:right w:val="single" w:color="BFBFBF" w:sz="1"/>
            </w:tcBorders>
            <w:tcMar>
              <w:top w:type="dxa" w:w="50"/>
              <w:left w:type="dxa" w:w="100"/>
              <w:bottom w:type="dxa" w:w="50"/>
              <w:right w:type="dxa" w:w="100"/>
            </w:tcMar>
          </w:tcPr>
          <w:p>
            <w:pPr>
              <w:spacing w:after="0"/>
            </w:pPr>
            <w:r>
              <w:rPr>
                <w:rFonts w:ascii="Arial" w:cs="Arial" w:eastAsia="Arial" w:hAnsi="Arial"/>
                <w:sz w:val="16"/>
                <w:szCs w:val="16"/>
              </w:rPr>
              <w:t xml:space="preserve">Complete GHD Sewer Master Plan (due 2028); PACP condition scores</w:t>
            </w:r>
          </w:p>
        </w:tc>
      </w:tr>
      <w:tr>
        <w:tc>
          <w:tcPr>
            <w:tcW w:type="dxa" w:w="2300"/>
            <w:tcBorders>
              <w:top w:val="single" w:color="BFBFBF" w:sz="1"/>
              <w:left w:val="single" w:color="BFBFBF" w:sz="1"/>
              <w:bottom w:val="single" w:color="BFBFBF" w:sz="1"/>
              <w:right w:val="single" w:color="BFBFBF" w:sz="1"/>
            </w:tcBorders>
            <w:tcMar>
              <w:top w:type="dxa" w:w="50"/>
              <w:left w:type="dxa" w:w="100"/>
              <w:bottom w:type="dxa" w:w="50"/>
              <w:right w:type="dxa" w:w="100"/>
            </w:tcMar>
          </w:tcPr>
          <w:p>
            <w:pPr>
              <w:spacing w:after="0"/>
            </w:pPr>
            <w:r>
              <w:rPr>
                <w:rFonts w:ascii="Arial" w:cs="Arial" w:eastAsia="Arial" w:hAnsi="Arial"/>
                <w:b/>
                <w:bCs/>
                <w:sz w:val="16"/>
                <w:szCs w:val="16"/>
              </w:rPr>
              <w:t xml:space="preserve">Stormwater</w:t>
            </w:r>
          </w:p>
        </w:tc>
        <w:tc>
          <w:tcPr>
            <w:tcW w:type="dxa" w:w="1500"/>
            <w:tcBorders>
              <w:top w:val="single" w:color="BFBFBF" w:sz="1"/>
              <w:left w:val="single" w:color="BFBFBF" w:sz="1"/>
              <w:bottom w:val="single" w:color="BFBFBF" w:sz="1"/>
              <w:right w:val="single" w:color="BFBFBF" w:sz="1"/>
            </w:tcBorders>
            <w:shd w:fill="FFF2CC" w:val="clear"/>
            <w:tcMar>
              <w:top w:type="dxa" w:w="50"/>
              <w:left w:type="dxa" w:w="100"/>
              <w:bottom w:type="dxa" w:w="50"/>
              <w:right w:type="dxa" w:w="100"/>
            </w:tcMar>
          </w:tcPr>
          <w:p>
            <w:pPr>
              <w:spacing w:after="0"/>
            </w:pPr>
            <w:r>
              <w:rPr>
                <w:rFonts w:ascii="Arial" w:cs="Arial" w:eastAsia="Arial" w:hAnsi="Arial"/>
                <w:sz w:val="16"/>
                <w:szCs w:val="16"/>
              </w:rPr>
              <w:t xml:space="preserve">PENDING</w:t>
            </w:r>
          </w:p>
        </w:tc>
        <w:tc>
          <w:tcPr>
            <w:tcW w:type="dxa" w:w="5560"/>
            <w:tcBorders>
              <w:top w:val="single" w:color="BFBFBF" w:sz="1"/>
              <w:left w:val="single" w:color="BFBFBF" w:sz="1"/>
              <w:bottom w:val="single" w:color="BFBFBF" w:sz="1"/>
              <w:right w:val="single" w:color="BFBFBF" w:sz="1"/>
            </w:tcBorders>
            <w:tcMar>
              <w:top w:type="dxa" w:w="50"/>
              <w:left w:type="dxa" w:w="100"/>
              <w:bottom w:type="dxa" w:w="50"/>
              <w:right w:type="dxa" w:w="100"/>
            </w:tcMar>
          </w:tcPr>
          <w:p>
            <w:pPr>
              <w:spacing w:after="0"/>
            </w:pPr>
            <w:r>
              <w:rPr>
                <w:rFonts w:ascii="Arial" w:cs="Arial" w:eastAsia="Arial" w:hAnsi="Arial"/>
                <w:sz w:val="16"/>
                <w:szCs w:val="16"/>
              </w:rPr>
              <w:t xml:space="preserve">Complete Stormwater Master Plan; condition + $208M validation</w:t>
            </w:r>
          </w:p>
        </w:tc>
      </w:tr>
      <w:tr>
        <w:tc>
          <w:tcPr>
            <w:tcW w:type="dxa" w:w="2300"/>
            <w:tcBorders>
              <w:top w:val="single" w:color="BFBFBF" w:sz="1"/>
              <w:left w:val="single" w:color="BFBFBF" w:sz="1"/>
              <w:bottom w:val="single" w:color="BFBFBF" w:sz="1"/>
              <w:right w:val="single" w:color="BFBFBF" w:sz="1"/>
            </w:tcBorders>
            <w:tcMar>
              <w:top w:type="dxa" w:w="50"/>
              <w:left w:type="dxa" w:w="100"/>
              <w:bottom w:type="dxa" w:w="50"/>
              <w:right w:type="dxa" w:w="100"/>
            </w:tcMar>
          </w:tcPr>
          <w:p>
            <w:pPr>
              <w:spacing w:after="0"/>
            </w:pPr>
            <w:r>
              <w:rPr>
                <w:rFonts w:ascii="Arial" w:cs="Arial" w:eastAsia="Arial" w:hAnsi="Arial"/>
                <w:b/>
                <w:bCs/>
                <w:sz w:val="16"/>
                <w:szCs w:val="16"/>
              </w:rPr>
              <w:t xml:space="preserve">Facilities / buildings</w:t>
            </w:r>
          </w:p>
        </w:tc>
        <w:tc>
          <w:tcPr>
            <w:tcW w:type="dxa" w:w="1500"/>
            <w:tcBorders>
              <w:top w:val="single" w:color="BFBFBF" w:sz="1"/>
              <w:left w:val="single" w:color="BFBFBF" w:sz="1"/>
              <w:bottom w:val="single" w:color="BFBFBF" w:sz="1"/>
              <w:right w:val="single" w:color="BFBFBF" w:sz="1"/>
            </w:tcBorders>
            <w:shd w:fill="F4CCCC" w:val="clear"/>
            <w:tcMar>
              <w:top w:type="dxa" w:w="50"/>
              <w:left w:type="dxa" w:w="100"/>
              <w:bottom w:type="dxa" w:w="50"/>
              <w:right w:type="dxa" w:w="100"/>
            </w:tcMar>
          </w:tcPr>
          <w:p>
            <w:pPr>
              <w:spacing w:after="0"/>
            </w:pPr>
            <w:r>
              <w:rPr>
                <w:rFonts w:ascii="Arial" w:cs="Arial" w:eastAsia="Arial" w:hAnsi="Arial"/>
                <w:sz w:val="16"/>
                <w:szCs w:val="16"/>
              </w:rPr>
              <w:t xml:space="preserve">MISSING</w:t>
            </w:r>
          </w:p>
        </w:tc>
        <w:tc>
          <w:tcPr>
            <w:tcW w:type="dxa" w:w="5560"/>
            <w:tcBorders>
              <w:top w:val="single" w:color="BFBFBF" w:sz="1"/>
              <w:left w:val="single" w:color="BFBFBF" w:sz="1"/>
              <w:bottom w:val="single" w:color="BFBFBF" w:sz="1"/>
              <w:right w:val="single" w:color="BFBFBF" w:sz="1"/>
            </w:tcBorders>
            <w:tcMar>
              <w:top w:type="dxa" w:w="50"/>
              <w:left w:type="dxa" w:w="100"/>
              <w:bottom w:type="dxa" w:w="50"/>
              <w:right w:type="dxa" w:w="100"/>
            </w:tcMar>
          </w:tcPr>
          <w:p>
            <w:pPr>
              <w:spacing w:after="0"/>
            </w:pPr>
            <w:r>
              <w:rPr>
                <w:rFonts w:ascii="Arial" w:cs="Arial" w:eastAsia="Arial" w:hAnsi="Arial"/>
                <w:sz w:val="16"/>
                <w:szCs w:val="16"/>
              </w:rPr>
              <w:t xml:space="preserve">Commission a Facilities Condition Assessment (FCI) — largest gap</w:t>
            </w:r>
          </w:p>
        </w:tc>
      </w:tr>
      <w:tr>
        <w:tc>
          <w:tcPr>
            <w:tcW w:type="dxa" w:w="2300"/>
            <w:tcBorders>
              <w:top w:val="single" w:color="BFBFBF" w:sz="1"/>
              <w:left w:val="single" w:color="BFBFBF" w:sz="1"/>
              <w:bottom w:val="single" w:color="BFBFBF" w:sz="1"/>
              <w:right w:val="single" w:color="BFBFBF" w:sz="1"/>
            </w:tcBorders>
            <w:tcMar>
              <w:top w:type="dxa" w:w="50"/>
              <w:left w:type="dxa" w:w="100"/>
              <w:bottom w:type="dxa" w:w="50"/>
              <w:right w:type="dxa" w:w="100"/>
            </w:tcMar>
          </w:tcPr>
          <w:p>
            <w:pPr>
              <w:spacing w:after="0"/>
            </w:pPr>
            <w:r>
              <w:rPr>
                <w:rFonts w:ascii="Arial" w:cs="Arial" w:eastAsia="Arial" w:hAnsi="Arial"/>
                <w:b/>
                <w:bCs/>
                <w:sz w:val="16"/>
                <w:szCs w:val="16"/>
              </w:rPr>
              <w:t xml:space="preserve">Marina / Waterfront</w:t>
            </w:r>
          </w:p>
        </w:tc>
        <w:tc>
          <w:tcPr>
            <w:tcW w:type="dxa" w:w="1500"/>
            <w:tcBorders>
              <w:top w:val="single" w:color="BFBFBF" w:sz="1"/>
              <w:left w:val="single" w:color="BFBFBF" w:sz="1"/>
              <w:bottom w:val="single" w:color="BFBFBF" w:sz="1"/>
              <w:right w:val="single" w:color="BFBFBF" w:sz="1"/>
            </w:tcBorders>
            <w:shd w:fill="F4CCCC" w:val="clear"/>
            <w:tcMar>
              <w:top w:type="dxa" w:w="50"/>
              <w:left w:type="dxa" w:w="100"/>
              <w:bottom w:type="dxa" w:w="50"/>
              <w:right w:type="dxa" w:w="100"/>
            </w:tcMar>
          </w:tcPr>
          <w:p>
            <w:pPr>
              <w:spacing w:after="0"/>
            </w:pPr>
            <w:r>
              <w:rPr>
                <w:rFonts w:ascii="Arial" w:cs="Arial" w:eastAsia="Arial" w:hAnsi="Arial"/>
                <w:sz w:val="16"/>
                <w:szCs w:val="16"/>
              </w:rPr>
              <w:t xml:space="preserve">PARTIAL</w:t>
            </w:r>
          </w:p>
        </w:tc>
        <w:tc>
          <w:tcPr>
            <w:tcW w:type="dxa" w:w="5560"/>
            <w:tcBorders>
              <w:top w:val="single" w:color="BFBFBF" w:sz="1"/>
              <w:left w:val="single" w:color="BFBFBF" w:sz="1"/>
              <w:bottom w:val="single" w:color="BFBFBF" w:sz="1"/>
              <w:right w:val="single" w:color="BFBFBF" w:sz="1"/>
            </w:tcBorders>
            <w:tcMar>
              <w:top w:type="dxa" w:w="50"/>
              <w:left w:type="dxa" w:w="100"/>
              <w:bottom w:type="dxa" w:w="50"/>
              <w:right w:type="dxa" w:w="100"/>
            </w:tcMar>
          </w:tcPr>
          <w:p>
            <w:pPr>
              <w:spacing w:after="0"/>
            </w:pPr>
            <w:r>
              <w:rPr>
                <w:rFonts w:ascii="Arial" w:cs="Arial" w:eastAsia="Arial" w:hAnsi="Arial"/>
                <w:sz w:val="16"/>
                <w:szCs w:val="16"/>
              </w:rPr>
              <w:t xml:space="preserve">Full structural assessment of docks, pilings, buildings</w:t>
            </w:r>
          </w:p>
        </w:tc>
      </w:tr>
      <w:tr>
        <w:tc>
          <w:tcPr>
            <w:tcW w:type="dxa" w:w="2300"/>
            <w:tcBorders>
              <w:top w:val="single" w:color="BFBFBF" w:sz="1"/>
              <w:left w:val="single" w:color="BFBFBF" w:sz="1"/>
              <w:bottom w:val="single" w:color="BFBFBF" w:sz="1"/>
              <w:right w:val="single" w:color="BFBFBF" w:sz="1"/>
            </w:tcBorders>
            <w:tcMar>
              <w:top w:type="dxa" w:w="50"/>
              <w:left w:type="dxa" w:w="100"/>
              <w:bottom w:type="dxa" w:w="50"/>
              <w:right w:type="dxa" w:w="100"/>
            </w:tcMar>
          </w:tcPr>
          <w:p>
            <w:pPr>
              <w:spacing w:after="0"/>
            </w:pPr>
            <w:r>
              <w:rPr>
                <w:rFonts w:ascii="Arial" w:cs="Arial" w:eastAsia="Arial" w:hAnsi="Arial"/>
                <w:b/>
                <w:bCs/>
                <w:sz w:val="16"/>
                <w:szCs w:val="16"/>
              </w:rPr>
              <w:t xml:space="preserve">Parks, fleet, IT,</w:t>
            </w:r>
          </w:p>
          <w:p>
            <w:pPr>
              <w:spacing w:after="0"/>
            </w:pPr>
            <w:r>
              <w:rPr>
                <w:rFonts w:ascii="Arial" w:cs="Arial" w:eastAsia="Arial" w:hAnsi="Arial"/>
                <w:b/>
                <w:bCs/>
                <w:sz w:val="16"/>
                <w:szCs w:val="16"/>
              </w:rPr>
              <w:t xml:space="preserve">streetlights, trees</w:t>
            </w:r>
          </w:p>
        </w:tc>
        <w:tc>
          <w:tcPr>
            <w:tcW w:type="dxa" w:w="1500"/>
            <w:tcBorders>
              <w:top w:val="single" w:color="BFBFBF" w:sz="1"/>
              <w:left w:val="single" w:color="BFBFBF" w:sz="1"/>
              <w:bottom w:val="single" w:color="BFBFBF" w:sz="1"/>
              <w:right w:val="single" w:color="BFBFBF" w:sz="1"/>
            </w:tcBorders>
            <w:shd w:fill="F4CCCC" w:val="clear"/>
            <w:tcMar>
              <w:top w:type="dxa" w:w="50"/>
              <w:left w:type="dxa" w:w="100"/>
              <w:bottom w:type="dxa" w:w="50"/>
              <w:right w:type="dxa" w:w="100"/>
            </w:tcMar>
          </w:tcPr>
          <w:p>
            <w:pPr>
              <w:spacing w:after="0"/>
            </w:pPr>
            <w:r>
              <w:rPr>
                <w:rFonts w:ascii="Arial" w:cs="Arial" w:eastAsia="Arial" w:hAnsi="Arial"/>
                <w:sz w:val="16"/>
                <w:szCs w:val="16"/>
              </w:rPr>
              <w:t xml:space="preserve">MISSING</w:t>
            </w:r>
          </w:p>
        </w:tc>
        <w:tc>
          <w:tcPr>
            <w:tcW w:type="dxa" w:w="5560"/>
            <w:tcBorders>
              <w:top w:val="single" w:color="BFBFBF" w:sz="1"/>
              <w:left w:val="single" w:color="BFBFBF" w:sz="1"/>
              <w:bottom w:val="single" w:color="BFBFBF" w:sz="1"/>
              <w:right w:val="single" w:color="BFBFBF" w:sz="1"/>
            </w:tcBorders>
            <w:tcMar>
              <w:top w:type="dxa" w:w="50"/>
              <w:left w:type="dxa" w:w="100"/>
              <w:bottom w:type="dxa" w:w="50"/>
              <w:right w:type="dxa" w:w="100"/>
            </w:tcMar>
          </w:tcPr>
          <w:p>
            <w:pPr>
              <w:spacing w:after="0"/>
            </w:pPr>
            <w:r>
              <w:rPr>
                <w:rFonts w:ascii="Arial" w:cs="Arial" w:eastAsia="Arial" w:hAnsi="Arial"/>
                <w:sz w:val="16"/>
                <w:szCs w:val="16"/>
              </w:rPr>
              <w:t xml:space="preserve">Useful life, condition grade, replacement value per class</w:t>
            </w:r>
          </w:p>
        </w:tc>
      </w:tr>
    </w:tbl>
    <w:p>
      <w:pPr>
        <w:spacing w:before="60"/>
      </w:pPr>
      <w:r>
        <w:rPr>
          <w:rFonts w:ascii="Arial" w:cs="Arial" w:eastAsia="Arial" w:hAnsi="Arial"/>
          <w:i/>
          <w:iCs/>
          <w:color w:val="595959"/>
          <w:sz w:val="16"/>
          <w:szCs w:val="16"/>
        </w:rPr>
        <w:t xml:space="preserve">The single biggest blind spot is the City's buildings: there is no Facilities Condition Assessment, so the seismic and deferred-maintenance liability of City facilities is essentially unquantified.</w:t>
      </w:r>
    </w:p>
    <w:p>
      <w:pPr>
        <w:spacing w:after="70" w:before="200"/>
      </w:pPr>
      <w:r>
        <w:rPr>
          <w:rFonts w:ascii="Arial" w:cs="Arial" w:eastAsia="Arial" w:hAnsi="Arial"/>
          <w:b/>
          <w:bCs/>
          <w:color w:val="1F3864"/>
          <w:sz w:val="22"/>
          <w:szCs w:val="22"/>
        </w:rPr>
        <w:t xml:space="preserve">4.  The step-by-step process to put before Council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60"/>
        <w:gridCol w:w="2600"/>
        <w:gridCol w:w="4200"/>
        <w:gridCol w:w="2000"/>
      </w:tblGrid>
      <w:tr>
        <w:trPr>
          <w:tblHeader/>
        </w:trPr>
        <w:tc>
          <w:tcPr>
            <w:tcW w:type="dxa" w:w="560"/>
            <w:tcBorders>
              <w:top w:val="single" w:color="BFBFBF" w:sz="1"/>
              <w:left w:val="single" w:color="BFBFBF" w:sz="1"/>
              <w:bottom w:val="single" w:color="BFBFBF" w:sz="1"/>
              <w:right w:val="single" w:color="BFBFBF" w:sz="1"/>
            </w:tcBorders>
            <w:shd w:fill="1F3864" w:val="clear"/>
            <w:tcMar>
              <w:top w:type="dxa" w:w="50"/>
              <w:left w:type="dxa" w:w="100"/>
              <w:bottom w:type="dxa" w:w="50"/>
              <w:right w:type="dxa" w:w="100"/>
            </w:tcMar>
          </w:tcPr>
          <w:p>
            <w:pPr>
              <w:spacing w:after="0"/>
            </w:pPr>
            <w:r>
              <w:rPr>
                <w:rFonts w:ascii="Arial" w:cs="Arial" w:eastAsia="Arial" w:hAnsi="Arial"/>
                <w:b/>
                <w:bCs/>
                <w:color w:val="FFFFFF"/>
                <w:sz w:val="16"/>
                <w:szCs w:val="16"/>
              </w:rPr>
              <w:t xml:space="preserve">#</w:t>
            </w:r>
          </w:p>
        </w:tc>
        <w:tc>
          <w:tcPr>
            <w:tcW w:type="dxa" w:w="2600"/>
            <w:tcBorders>
              <w:top w:val="single" w:color="BFBFBF" w:sz="1"/>
              <w:left w:val="single" w:color="BFBFBF" w:sz="1"/>
              <w:bottom w:val="single" w:color="BFBFBF" w:sz="1"/>
              <w:right w:val="single" w:color="BFBFBF" w:sz="1"/>
            </w:tcBorders>
            <w:shd w:fill="1F3864" w:val="clear"/>
            <w:tcMar>
              <w:top w:type="dxa" w:w="50"/>
              <w:left w:type="dxa" w:w="100"/>
              <w:bottom w:type="dxa" w:w="50"/>
              <w:right w:type="dxa" w:w="100"/>
            </w:tcMar>
          </w:tcPr>
          <w:p>
            <w:pPr>
              <w:spacing w:after="0"/>
            </w:pPr>
            <w:r>
              <w:rPr>
                <w:rFonts w:ascii="Arial" w:cs="Arial" w:eastAsia="Arial" w:hAnsi="Arial"/>
                <w:b/>
                <w:bCs/>
                <w:color w:val="FFFFFF"/>
                <w:sz w:val="16"/>
                <w:szCs w:val="16"/>
              </w:rPr>
              <w:t xml:space="preserve">Step (council or staff)</w:t>
            </w:r>
          </w:p>
        </w:tc>
        <w:tc>
          <w:tcPr>
            <w:tcW w:type="dxa" w:w="4200"/>
            <w:tcBorders>
              <w:top w:val="single" w:color="BFBFBF" w:sz="1"/>
              <w:left w:val="single" w:color="BFBFBF" w:sz="1"/>
              <w:bottom w:val="single" w:color="BFBFBF" w:sz="1"/>
              <w:right w:val="single" w:color="BFBFBF" w:sz="1"/>
            </w:tcBorders>
            <w:shd w:fill="1F3864" w:val="clear"/>
            <w:tcMar>
              <w:top w:type="dxa" w:w="50"/>
              <w:left w:type="dxa" w:w="100"/>
              <w:bottom w:type="dxa" w:w="50"/>
              <w:right w:type="dxa" w:w="100"/>
            </w:tcMar>
          </w:tcPr>
          <w:p>
            <w:pPr>
              <w:spacing w:after="0"/>
            </w:pPr>
            <w:r>
              <w:rPr>
                <w:rFonts w:ascii="Arial" w:cs="Arial" w:eastAsia="Arial" w:hAnsi="Arial"/>
                <w:b/>
                <w:bCs/>
                <w:color w:val="FFFFFF"/>
                <w:sz w:val="16"/>
                <w:szCs w:val="16"/>
              </w:rPr>
              <w:t xml:space="preserve">Deliverable / data produced</w:t>
            </w:r>
          </w:p>
        </w:tc>
        <w:tc>
          <w:tcPr>
            <w:tcW w:type="dxa" w:w="2000"/>
            <w:tcBorders>
              <w:top w:val="single" w:color="BFBFBF" w:sz="1"/>
              <w:left w:val="single" w:color="BFBFBF" w:sz="1"/>
              <w:bottom w:val="single" w:color="BFBFBF" w:sz="1"/>
              <w:right w:val="single" w:color="BFBFBF" w:sz="1"/>
            </w:tcBorders>
            <w:shd w:fill="1F3864" w:val="clear"/>
            <w:tcMar>
              <w:top w:type="dxa" w:w="50"/>
              <w:left w:type="dxa" w:w="100"/>
              <w:bottom w:type="dxa" w:w="50"/>
              <w:right w:type="dxa" w:w="100"/>
            </w:tcMar>
          </w:tcPr>
          <w:p>
            <w:pPr>
              <w:spacing w:after="0"/>
            </w:pPr>
            <w:r>
              <w:rPr>
                <w:rFonts w:ascii="Arial" w:cs="Arial" w:eastAsia="Arial" w:hAnsi="Arial"/>
                <w:b/>
                <w:bCs/>
                <w:color w:val="FFFFFF"/>
                <w:sz w:val="16"/>
                <w:szCs w:val="16"/>
              </w:rPr>
              <w:t xml:space="preserve">Target date</w:t>
            </w:r>
          </w:p>
        </w:tc>
      </w:tr>
      <w:tr>
        <w:tc>
          <w:tcPr>
            <w:tcW w:type="dxa" w:w="560"/>
            <w:tcBorders>
              <w:top w:val="single" w:color="BFBFBF" w:sz="1"/>
              <w:left w:val="single" w:color="BFBFBF" w:sz="1"/>
              <w:bottom w:val="single" w:color="BFBFBF" w:sz="1"/>
              <w:right w:val="single" w:color="BFBFBF" w:sz="1"/>
            </w:tcBorders>
            <w:tcMar>
              <w:top w:type="dxa" w:w="50"/>
              <w:left w:type="dxa" w:w="100"/>
              <w:bottom w:type="dxa" w:w="50"/>
              <w:right w:type="dxa" w:w="100"/>
            </w:tcMar>
          </w:tcPr>
          <w:p>
            <w:pPr>
              <w:spacing w:after="0"/>
              <w:jc w:val="center"/>
            </w:pPr>
            <w:r>
              <w:rPr>
                <w:rFonts w:ascii="Arial" w:cs="Arial" w:eastAsia="Arial" w:hAnsi="Arial"/>
                <w:b/>
                <w:bCs/>
                <w:sz w:val="16"/>
                <w:szCs w:val="16"/>
              </w:rPr>
              <w:t xml:space="preserve">1</w:t>
            </w:r>
          </w:p>
        </w:tc>
        <w:tc>
          <w:tcPr>
            <w:tcW w:type="dxa" w:w="2600"/>
            <w:tcBorders>
              <w:top w:val="single" w:color="BFBFBF" w:sz="1"/>
              <w:left w:val="single" w:color="BFBFBF" w:sz="1"/>
              <w:bottom w:val="single" w:color="BFBFBF" w:sz="1"/>
              <w:right w:val="single" w:color="BFBFBF" w:sz="1"/>
            </w:tcBorders>
            <w:tcMar>
              <w:top w:type="dxa" w:w="50"/>
              <w:left w:type="dxa" w:w="100"/>
              <w:bottom w:type="dxa" w:w="50"/>
              <w:right w:type="dxa" w:w="100"/>
            </w:tcMar>
          </w:tcPr>
          <w:p>
            <w:pPr>
              <w:spacing w:after="0"/>
            </w:pPr>
            <w:r>
              <w:rPr>
                <w:rFonts w:ascii="Arial" w:cs="Arial" w:eastAsia="Arial" w:hAnsi="Arial"/>
                <w:b/>
                <w:bCs/>
                <w:sz w:val="16"/>
                <w:szCs w:val="16"/>
              </w:rPr>
              <w:t xml:space="preserve">ADOPT THE PRINCIPLE (Council)</w:t>
            </w:r>
          </w:p>
        </w:tc>
        <w:tc>
          <w:tcPr>
            <w:tcW w:type="dxa" w:w="4200"/>
            <w:tcBorders>
              <w:top w:val="single" w:color="BFBFBF" w:sz="1"/>
              <w:left w:val="single" w:color="BFBFBF" w:sz="1"/>
              <w:bottom w:val="single" w:color="BFBFBF" w:sz="1"/>
              <w:right w:val="single" w:color="BFBFBF" w:sz="1"/>
            </w:tcBorders>
            <w:tcMar>
              <w:top w:type="dxa" w:w="50"/>
              <w:left w:type="dxa" w:w="100"/>
              <w:bottom w:type="dxa" w:w="50"/>
              <w:right w:type="dxa" w:w="100"/>
            </w:tcMar>
          </w:tcPr>
          <w:p>
            <w:pPr>
              <w:spacing w:after="0"/>
            </w:pPr>
            <w:r>
              <w:rPr>
                <w:rFonts w:ascii="Arial" w:cs="Arial" w:eastAsia="Arial" w:hAnsi="Arial"/>
                <w:sz w:val="16"/>
                <w:szCs w:val="16"/>
              </w:rPr>
              <w:t xml:space="preserve">Resolution: all capital requests above a set threshold evaluated on 30-yr lifecycle TCO and cost-of-deferral, not first cost.</w:t>
            </w:r>
          </w:p>
        </w:tc>
        <w:tc>
          <w:tcPr>
            <w:tcW w:type="dxa" w:w="2000"/>
            <w:tcBorders>
              <w:top w:val="single" w:color="BFBFBF" w:sz="1"/>
              <w:left w:val="single" w:color="BFBFBF" w:sz="1"/>
              <w:bottom w:val="single" w:color="BFBFBF" w:sz="1"/>
              <w:right w:val="single" w:color="BFBFBF" w:sz="1"/>
            </w:tcBorders>
            <w:tcMar>
              <w:top w:type="dxa" w:w="50"/>
              <w:left w:type="dxa" w:w="100"/>
              <w:bottom w:type="dxa" w:w="50"/>
              <w:right w:type="dxa" w:w="100"/>
            </w:tcMar>
          </w:tcPr>
          <w:p>
            <w:pPr>
              <w:spacing w:after="0"/>
            </w:pPr>
            <w:r>
              <w:rPr>
                <w:rFonts w:ascii="Arial" w:cs="Arial" w:eastAsia="Arial" w:hAnsi="Arial"/>
                <w:sz w:val="16"/>
                <w:szCs w:val="16"/>
              </w:rPr>
              <w:t xml:space="preserve">Now (Summer 2026)</w:t>
            </w:r>
          </w:p>
        </w:tc>
      </w:tr>
      <w:tr>
        <w:tc>
          <w:tcPr>
            <w:tcW w:type="dxa" w:w="560"/>
            <w:tcBorders>
              <w:top w:val="single" w:color="BFBFBF" w:sz="1"/>
              <w:left w:val="single" w:color="BFBFBF" w:sz="1"/>
              <w:bottom w:val="single" w:color="BFBFBF" w:sz="1"/>
              <w:right w:val="single" w:color="BFBFBF" w:sz="1"/>
            </w:tcBorders>
            <w:tcMar>
              <w:top w:type="dxa" w:w="50"/>
              <w:left w:type="dxa" w:w="100"/>
              <w:bottom w:type="dxa" w:w="50"/>
              <w:right w:type="dxa" w:w="100"/>
            </w:tcMar>
          </w:tcPr>
          <w:p>
            <w:pPr>
              <w:spacing w:after="0"/>
              <w:jc w:val="center"/>
            </w:pPr>
            <w:r>
              <w:rPr>
                <w:rFonts w:ascii="Arial" w:cs="Arial" w:eastAsia="Arial" w:hAnsi="Arial"/>
                <w:b/>
                <w:bCs/>
                <w:sz w:val="16"/>
                <w:szCs w:val="16"/>
              </w:rPr>
              <w:t xml:space="preserve">2</w:t>
            </w:r>
          </w:p>
        </w:tc>
        <w:tc>
          <w:tcPr>
            <w:tcW w:type="dxa" w:w="2600"/>
            <w:tcBorders>
              <w:top w:val="single" w:color="BFBFBF" w:sz="1"/>
              <w:left w:val="single" w:color="BFBFBF" w:sz="1"/>
              <w:bottom w:val="single" w:color="BFBFBF" w:sz="1"/>
              <w:right w:val="single" w:color="BFBFBF" w:sz="1"/>
            </w:tcBorders>
            <w:tcMar>
              <w:top w:type="dxa" w:w="50"/>
              <w:left w:type="dxa" w:w="100"/>
              <w:bottom w:type="dxa" w:w="50"/>
              <w:right w:type="dxa" w:w="100"/>
            </w:tcMar>
          </w:tcPr>
          <w:p>
            <w:pPr>
              <w:spacing w:after="0"/>
            </w:pPr>
            <w:r>
              <w:rPr>
                <w:rFonts w:ascii="Arial" w:cs="Arial" w:eastAsia="Arial" w:hAnsi="Arial"/>
                <w:b/>
                <w:bCs/>
                <w:sz w:val="16"/>
                <w:szCs w:val="16"/>
              </w:rPr>
              <w:t xml:space="preserve">Complete the asset register (Staff)</w:t>
            </w:r>
          </w:p>
        </w:tc>
        <w:tc>
          <w:tcPr>
            <w:tcW w:type="dxa" w:w="4200"/>
            <w:tcBorders>
              <w:top w:val="single" w:color="BFBFBF" w:sz="1"/>
              <w:left w:val="single" w:color="BFBFBF" w:sz="1"/>
              <w:bottom w:val="single" w:color="BFBFBF" w:sz="1"/>
              <w:right w:val="single" w:color="BFBFBF" w:sz="1"/>
            </w:tcBorders>
            <w:tcMar>
              <w:top w:type="dxa" w:w="50"/>
              <w:left w:type="dxa" w:w="100"/>
              <w:bottom w:type="dxa" w:w="50"/>
              <w:right w:type="dxa" w:w="100"/>
            </w:tcMar>
          </w:tcPr>
          <w:p>
            <w:pPr>
              <w:spacing w:after="0"/>
            </w:pPr>
            <w:r>
              <w:rPr>
                <w:rFonts w:ascii="Arial" w:cs="Arial" w:eastAsia="Arial" w:hAnsi="Arial"/>
                <w:sz w:val="16"/>
                <w:szCs w:val="16"/>
              </w:rPr>
              <w:t xml:space="preserve">Every asset class: quantity, install year, expected useful life, replacement value. Build on the ACFR capital schedule.</w:t>
            </w:r>
          </w:p>
        </w:tc>
        <w:tc>
          <w:tcPr>
            <w:tcW w:type="dxa" w:w="2000"/>
            <w:tcBorders>
              <w:top w:val="single" w:color="BFBFBF" w:sz="1"/>
              <w:left w:val="single" w:color="BFBFBF" w:sz="1"/>
              <w:bottom w:val="single" w:color="BFBFBF" w:sz="1"/>
              <w:right w:val="single" w:color="BFBFBF" w:sz="1"/>
            </w:tcBorders>
            <w:tcMar>
              <w:top w:type="dxa" w:w="50"/>
              <w:left w:type="dxa" w:w="100"/>
              <w:bottom w:type="dxa" w:w="50"/>
              <w:right w:type="dxa" w:w="100"/>
            </w:tcMar>
          </w:tcPr>
          <w:p>
            <w:pPr>
              <w:spacing w:after="0"/>
            </w:pPr>
            <w:r>
              <w:rPr>
                <w:rFonts w:ascii="Arial" w:cs="Arial" w:eastAsia="Arial" w:hAnsi="Arial"/>
                <w:sz w:val="16"/>
                <w:szCs w:val="16"/>
              </w:rPr>
              <w:t xml:space="preserve">End 2026</w:t>
            </w:r>
          </w:p>
        </w:tc>
      </w:tr>
      <w:tr>
        <w:tc>
          <w:tcPr>
            <w:tcW w:type="dxa" w:w="560"/>
            <w:tcBorders>
              <w:top w:val="single" w:color="BFBFBF" w:sz="1"/>
              <w:left w:val="single" w:color="BFBFBF" w:sz="1"/>
              <w:bottom w:val="single" w:color="BFBFBF" w:sz="1"/>
              <w:right w:val="single" w:color="BFBFBF" w:sz="1"/>
            </w:tcBorders>
            <w:tcMar>
              <w:top w:type="dxa" w:w="50"/>
              <w:left w:type="dxa" w:w="100"/>
              <w:bottom w:type="dxa" w:w="50"/>
              <w:right w:type="dxa" w:w="100"/>
            </w:tcMar>
          </w:tcPr>
          <w:p>
            <w:pPr>
              <w:spacing w:after="0"/>
              <w:jc w:val="center"/>
            </w:pPr>
            <w:r>
              <w:rPr>
                <w:rFonts w:ascii="Arial" w:cs="Arial" w:eastAsia="Arial" w:hAnsi="Arial"/>
                <w:b/>
                <w:bCs/>
                <w:sz w:val="16"/>
                <w:szCs w:val="16"/>
              </w:rPr>
              <w:t xml:space="preserve">3</w:t>
            </w:r>
          </w:p>
        </w:tc>
        <w:tc>
          <w:tcPr>
            <w:tcW w:type="dxa" w:w="2600"/>
            <w:tcBorders>
              <w:top w:val="single" w:color="BFBFBF" w:sz="1"/>
              <w:left w:val="single" w:color="BFBFBF" w:sz="1"/>
              <w:bottom w:val="single" w:color="BFBFBF" w:sz="1"/>
              <w:right w:val="single" w:color="BFBFBF" w:sz="1"/>
            </w:tcBorders>
            <w:tcMar>
              <w:top w:type="dxa" w:w="50"/>
              <w:left w:type="dxa" w:w="100"/>
              <w:bottom w:type="dxa" w:w="50"/>
              <w:right w:type="dxa" w:w="100"/>
            </w:tcMar>
          </w:tcPr>
          <w:p>
            <w:pPr>
              <w:spacing w:after="0"/>
            </w:pPr>
            <w:r>
              <w:rPr>
                <w:rFonts w:ascii="Arial" w:cs="Arial" w:eastAsia="Arial" w:hAnsi="Arial"/>
                <w:b/>
                <w:bCs/>
                <w:sz w:val="16"/>
                <w:szCs w:val="16"/>
              </w:rPr>
              <w:t xml:space="preserve">Standardize condition assessment (Staff)</w:t>
            </w:r>
          </w:p>
        </w:tc>
        <w:tc>
          <w:tcPr>
            <w:tcW w:type="dxa" w:w="4200"/>
            <w:tcBorders>
              <w:top w:val="single" w:color="BFBFBF" w:sz="1"/>
              <w:left w:val="single" w:color="BFBFBF" w:sz="1"/>
              <w:bottom w:val="single" w:color="BFBFBF" w:sz="1"/>
              <w:right w:val="single" w:color="BFBFBF" w:sz="1"/>
            </w:tcBorders>
            <w:tcMar>
              <w:top w:type="dxa" w:w="50"/>
              <w:left w:type="dxa" w:w="100"/>
              <w:bottom w:type="dxa" w:w="50"/>
              <w:right w:type="dxa" w:w="100"/>
            </w:tcMar>
          </w:tcPr>
          <w:p>
            <w:pPr>
              <w:spacing w:after="0"/>
            </w:pPr>
            <w:r>
              <w:rPr>
                <w:rFonts w:ascii="Arial" w:cs="Arial" w:eastAsia="Arial" w:hAnsi="Arial"/>
                <w:sz w:val="16"/>
                <w:szCs w:val="16"/>
              </w:rPr>
              <w:t xml:space="preserve">One metric per class — PCI, NASSCO/PACP, FCI, 1-5 grade. Commission the missing Facilities &amp; Marina assessments.</w:t>
            </w:r>
          </w:p>
        </w:tc>
        <w:tc>
          <w:tcPr>
            <w:tcW w:type="dxa" w:w="2000"/>
            <w:tcBorders>
              <w:top w:val="single" w:color="BFBFBF" w:sz="1"/>
              <w:left w:val="single" w:color="BFBFBF" w:sz="1"/>
              <w:bottom w:val="single" w:color="BFBFBF" w:sz="1"/>
              <w:right w:val="single" w:color="BFBFBF" w:sz="1"/>
            </w:tcBorders>
            <w:tcMar>
              <w:top w:type="dxa" w:w="50"/>
              <w:left w:type="dxa" w:w="100"/>
              <w:bottom w:type="dxa" w:w="50"/>
              <w:right w:type="dxa" w:w="100"/>
            </w:tcMar>
          </w:tcPr>
          <w:p>
            <w:pPr>
              <w:spacing w:after="0"/>
            </w:pPr>
            <w:r>
              <w:rPr>
                <w:rFonts w:ascii="Arial" w:cs="Arial" w:eastAsia="Arial" w:hAnsi="Arial"/>
                <w:sz w:val="16"/>
                <w:szCs w:val="16"/>
              </w:rPr>
              <w:t xml:space="preserve">Q1-Q3 2027</w:t>
            </w:r>
          </w:p>
        </w:tc>
      </w:tr>
      <w:tr>
        <w:tc>
          <w:tcPr>
            <w:tcW w:type="dxa" w:w="560"/>
            <w:tcBorders>
              <w:top w:val="single" w:color="BFBFBF" w:sz="1"/>
              <w:left w:val="single" w:color="BFBFBF" w:sz="1"/>
              <w:bottom w:val="single" w:color="BFBFBF" w:sz="1"/>
              <w:right w:val="single" w:color="BFBFBF" w:sz="1"/>
            </w:tcBorders>
            <w:tcMar>
              <w:top w:type="dxa" w:w="50"/>
              <w:left w:type="dxa" w:w="100"/>
              <w:bottom w:type="dxa" w:w="50"/>
              <w:right w:type="dxa" w:w="100"/>
            </w:tcMar>
          </w:tcPr>
          <w:p>
            <w:pPr>
              <w:spacing w:after="0"/>
              <w:jc w:val="center"/>
            </w:pPr>
            <w:r>
              <w:rPr>
                <w:rFonts w:ascii="Arial" w:cs="Arial" w:eastAsia="Arial" w:hAnsi="Arial"/>
                <w:b/>
                <w:bCs/>
                <w:sz w:val="16"/>
                <w:szCs w:val="16"/>
              </w:rPr>
              <w:t xml:space="preserve">4</w:t>
            </w:r>
          </w:p>
        </w:tc>
        <w:tc>
          <w:tcPr>
            <w:tcW w:type="dxa" w:w="2600"/>
            <w:tcBorders>
              <w:top w:val="single" w:color="BFBFBF" w:sz="1"/>
              <w:left w:val="single" w:color="BFBFBF" w:sz="1"/>
              <w:bottom w:val="single" w:color="BFBFBF" w:sz="1"/>
              <w:right w:val="single" w:color="BFBFBF" w:sz="1"/>
            </w:tcBorders>
            <w:tcMar>
              <w:top w:type="dxa" w:w="50"/>
              <w:left w:type="dxa" w:w="100"/>
              <w:bottom w:type="dxa" w:w="50"/>
              <w:right w:type="dxa" w:w="100"/>
            </w:tcMar>
          </w:tcPr>
          <w:p>
            <w:pPr>
              <w:spacing w:after="0"/>
            </w:pPr>
            <w:r>
              <w:rPr>
                <w:rFonts w:ascii="Arial" w:cs="Arial" w:eastAsia="Arial" w:hAnsi="Arial"/>
                <w:b/>
                <w:bCs/>
                <w:sz w:val="16"/>
                <w:szCs w:val="16"/>
              </w:rPr>
              <w:t xml:space="preserve">Build lifecycle (TCO) models (Staff)</w:t>
            </w:r>
          </w:p>
        </w:tc>
        <w:tc>
          <w:tcPr>
            <w:tcW w:type="dxa" w:w="4200"/>
            <w:tcBorders>
              <w:top w:val="single" w:color="BFBFBF" w:sz="1"/>
              <w:left w:val="single" w:color="BFBFBF" w:sz="1"/>
              <w:bottom w:val="single" w:color="BFBFBF" w:sz="1"/>
              <w:right w:val="single" w:color="BFBFBF" w:sz="1"/>
            </w:tcBorders>
            <w:tcMar>
              <w:top w:type="dxa" w:w="50"/>
              <w:left w:type="dxa" w:w="100"/>
              <w:bottom w:type="dxa" w:w="50"/>
              <w:right w:type="dxa" w:w="100"/>
            </w:tcMar>
          </w:tcPr>
          <w:p>
            <w:pPr>
              <w:spacing w:after="0"/>
            </w:pPr>
            <w:r>
              <w:rPr>
                <w:rFonts w:ascii="Arial" w:cs="Arial" w:eastAsia="Arial" w:hAnsi="Arial"/>
                <w:sz w:val="16"/>
                <w:szCs w:val="16"/>
              </w:rPr>
              <w:t xml:space="preserve">Per class: deterioration curve, O&amp;M schedule, rehab/replacement unit costs, salvage; present-value TCO per treatment option. Adopt a standard discount + escalation rate.</w:t>
            </w:r>
          </w:p>
        </w:tc>
        <w:tc>
          <w:tcPr>
            <w:tcW w:type="dxa" w:w="2000"/>
            <w:tcBorders>
              <w:top w:val="single" w:color="BFBFBF" w:sz="1"/>
              <w:left w:val="single" w:color="BFBFBF" w:sz="1"/>
              <w:bottom w:val="single" w:color="BFBFBF" w:sz="1"/>
              <w:right w:val="single" w:color="BFBFBF" w:sz="1"/>
            </w:tcBorders>
            <w:tcMar>
              <w:top w:type="dxa" w:w="50"/>
              <w:left w:type="dxa" w:w="100"/>
              <w:bottom w:type="dxa" w:w="50"/>
              <w:right w:type="dxa" w:w="100"/>
            </w:tcMar>
          </w:tcPr>
          <w:p>
            <w:pPr>
              <w:spacing w:after="0"/>
            </w:pPr>
            <w:r>
              <w:rPr>
                <w:rFonts w:ascii="Arial" w:cs="Arial" w:eastAsia="Arial" w:hAnsi="Arial"/>
                <w:sz w:val="16"/>
                <w:szCs w:val="16"/>
              </w:rPr>
              <w:t xml:space="preserve">Q2-Q4 2027</w:t>
            </w:r>
          </w:p>
        </w:tc>
      </w:tr>
      <w:tr>
        <w:tc>
          <w:tcPr>
            <w:tcW w:type="dxa" w:w="560"/>
            <w:tcBorders>
              <w:top w:val="single" w:color="BFBFBF" w:sz="1"/>
              <w:left w:val="single" w:color="BFBFBF" w:sz="1"/>
              <w:bottom w:val="single" w:color="BFBFBF" w:sz="1"/>
              <w:right w:val="single" w:color="BFBFBF" w:sz="1"/>
            </w:tcBorders>
            <w:tcMar>
              <w:top w:type="dxa" w:w="50"/>
              <w:left w:type="dxa" w:w="100"/>
              <w:bottom w:type="dxa" w:w="50"/>
              <w:right w:type="dxa" w:w="100"/>
            </w:tcMar>
          </w:tcPr>
          <w:p>
            <w:pPr>
              <w:spacing w:after="0"/>
              <w:jc w:val="center"/>
            </w:pPr>
            <w:r>
              <w:rPr>
                <w:rFonts w:ascii="Arial" w:cs="Arial" w:eastAsia="Arial" w:hAnsi="Arial"/>
                <w:b/>
                <w:bCs/>
                <w:sz w:val="16"/>
                <w:szCs w:val="16"/>
              </w:rPr>
              <w:t xml:space="preserve">5</w:t>
            </w:r>
          </w:p>
        </w:tc>
        <w:tc>
          <w:tcPr>
            <w:tcW w:type="dxa" w:w="2600"/>
            <w:tcBorders>
              <w:top w:val="single" w:color="BFBFBF" w:sz="1"/>
              <w:left w:val="single" w:color="BFBFBF" w:sz="1"/>
              <w:bottom w:val="single" w:color="BFBFBF" w:sz="1"/>
              <w:right w:val="single" w:color="BFBFBF" w:sz="1"/>
            </w:tcBorders>
            <w:tcMar>
              <w:top w:type="dxa" w:w="50"/>
              <w:left w:type="dxa" w:w="100"/>
              <w:bottom w:type="dxa" w:w="50"/>
              <w:right w:type="dxa" w:w="100"/>
            </w:tcMar>
          </w:tcPr>
          <w:p>
            <w:pPr>
              <w:spacing w:after="0"/>
            </w:pPr>
            <w:r>
              <w:rPr>
                <w:rFonts w:ascii="Arial" w:cs="Arial" w:eastAsia="Arial" w:hAnsi="Arial"/>
                <w:b/>
                <w:bCs/>
                <w:sz w:val="16"/>
                <w:szCs w:val="16"/>
              </w:rPr>
              <w:t xml:space="preserve">Quantify the cost of deferral (Staff)</w:t>
            </w:r>
          </w:p>
        </w:tc>
        <w:tc>
          <w:tcPr>
            <w:tcW w:type="dxa" w:w="4200"/>
            <w:tcBorders>
              <w:top w:val="single" w:color="BFBFBF" w:sz="1"/>
              <w:left w:val="single" w:color="BFBFBF" w:sz="1"/>
              <w:bottom w:val="single" w:color="BFBFBF" w:sz="1"/>
              <w:right w:val="single" w:color="BFBFBF" w:sz="1"/>
            </w:tcBorders>
            <w:tcMar>
              <w:top w:type="dxa" w:w="50"/>
              <w:left w:type="dxa" w:w="100"/>
              <w:bottom w:type="dxa" w:w="50"/>
              <w:right w:type="dxa" w:w="100"/>
            </w:tcMar>
          </w:tcPr>
          <w:p>
            <w:pPr>
              <w:spacing w:after="0"/>
            </w:pPr>
            <w:r>
              <w:rPr>
                <w:rFonts w:ascii="Arial" w:cs="Arial" w:eastAsia="Arial" w:hAnsi="Arial"/>
                <w:sz w:val="16"/>
                <w:szCs w:val="16"/>
              </w:rPr>
              <w:t xml:space="preserve">Per project: cost of waiting 1 / 3 / 5 years = condition multiplier + escalation + expected failure cost, expressed as an implied annual rate vs. the City's borrowing cost.</w:t>
            </w:r>
          </w:p>
        </w:tc>
        <w:tc>
          <w:tcPr>
            <w:tcW w:type="dxa" w:w="2000"/>
            <w:tcBorders>
              <w:top w:val="single" w:color="BFBFBF" w:sz="1"/>
              <w:left w:val="single" w:color="BFBFBF" w:sz="1"/>
              <w:bottom w:val="single" w:color="BFBFBF" w:sz="1"/>
              <w:right w:val="single" w:color="BFBFBF" w:sz="1"/>
            </w:tcBorders>
            <w:tcMar>
              <w:top w:type="dxa" w:w="50"/>
              <w:left w:type="dxa" w:w="100"/>
              <w:bottom w:type="dxa" w:w="50"/>
              <w:right w:type="dxa" w:w="100"/>
            </w:tcMar>
          </w:tcPr>
          <w:p>
            <w:pPr>
              <w:spacing w:after="0"/>
            </w:pPr>
            <w:r>
              <w:rPr>
                <w:rFonts w:ascii="Arial" w:cs="Arial" w:eastAsia="Arial" w:hAnsi="Arial"/>
                <w:sz w:val="16"/>
                <w:szCs w:val="16"/>
              </w:rPr>
              <w:t xml:space="preserve">Q3-Q4 2027</w:t>
            </w:r>
          </w:p>
        </w:tc>
      </w:tr>
      <w:tr>
        <w:tc>
          <w:tcPr>
            <w:tcW w:type="dxa" w:w="560"/>
            <w:tcBorders>
              <w:top w:val="single" w:color="BFBFBF" w:sz="1"/>
              <w:left w:val="single" w:color="BFBFBF" w:sz="1"/>
              <w:bottom w:val="single" w:color="BFBFBF" w:sz="1"/>
              <w:right w:val="single" w:color="BFBFBF" w:sz="1"/>
            </w:tcBorders>
            <w:tcMar>
              <w:top w:type="dxa" w:w="50"/>
              <w:left w:type="dxa" w:w="100"/>
              <w:bottom w:type="dxa" w:w="50"/>
              <w:right w:type="dxa" w:w="100"/>
            </w:tcMar>
          </w:tcPr>
          <w:p>
            <w:pPr>
              <w:spacing w:after="0"/>
              <w:jc w:val="center"/>
            </w:pPr>
            <w:r>
              <w:rPr>
                <w:rFonts w:ascii="Arial" w:cs="Arial" w:eastAsia="Arial" w:hAnsi="Arial"/>
                <w:b/>
                <w:bCs/>
                <w:sz w:val="16"/>
                <w:szCs w:val="16"/>
              </w:rPr>
              <w:t xml:space="preserve">6</w:t>
            </w:r>
          </w:p>
        </w:tc>
        <w:tc>
          <w:tcPr>
            <w:tcW w:type="dxa" w:w="2600"/>
            <w:tcBorders>
              <w:top w:val="single" w:color="BFBFBF" w:sz="1"/>
              <w:left w:val="single" w:color="BFBFBF" w:sz="1"/>
              <w:bottom w:val="single" w:color="BFBFBF" w:sz="1"/>
              <w:right w:val="single" w:color="BFBFBF" w:sz="1"/>
            </w:tcBorders>
            <w:tcMar>
              <w:top w:type="dxa" w:w="50"/>
              <w:left w:type="dxa" w:w="100"/>
              <w:bottom w:type="dxa" w:w="50"/>
              <w:right w:type="dxa" w:w="100"/>
            </w:tcMar>
          </w:tcPr>
          <w:p>
            <w:pPr>
              <w:spacing w:after="0"/>
            </w:pPr>
            <w:r>
              <w:rPr>
                <w:rFonts w:ascii="Arial" w:cs="Arial" w:eastAsia="Arial" w:hAnsi="Arial"/>
                <w:b/>
                <w:bCs/>
                <w:sz w:val="16"/>
                <w:szCs w:val="16"/>
              </w:rPr>
              <w:t xml:space="preserve">Integrate into the CIP &amp; publish (Staff)</w:t>
            </w:r>
          </w:p>
        </w:tc>
        <w:tc>
          <w:tcPr>
            <w:tcW w:type="dxa" w:w="4200"/>
            <w:tcBorders>
              <w:top w:val="single" w:color="BFBFBF" w:sz="1"/>
              <w:left w:val="single" w:color="BFBFBF" w:sz="1"/>
              <w:bottom w:val="single" w:color="BFBFBF" w:sz="1"/>
              <w:right w:val="single" w:color="BFBFBF" w:sz="1"/>
            </w:tcBorders>
            <w:tcMar>
              <w:top w:type="dxa" w:w="50"/>
              <w:left w:type="dxa" w:w="100"/>
              <w:bottom w:type="dxa" w:w="50"/>
              <w:right w:type="dxa" w:w="100"/>
            </w:tcMar>
          </w:tcPr>
          <w:p>
            <w:pPr>
              <w:spacing w:after="0"/>
            </w:pPr>
            <w:r>
              <w:rPr>
                <w:rFonts w:ascii="Arial" w:cs="Arial" w:eastAsia="Arial" w:hAnsi="Arial"/>
                <w:sz w:val="16"/>
                <w:szCs w:val="16"/>
              </w:rPr>
              <w:t xml:space="preserve">Ranked CIP showing, per project: first cost, 30-yr TCO, cost of waiting, tier. Public dashboard, updated annually.</w:t>
            </w:r>
          </w:p>
        </w:tc>
        <w:tc>
          <w:tcPr>
            <w:tcW w:type="dxa" w:w="2000"/>
            <w:tcBorders>
              <w:top w:val="single" w:color="BFBFBF" w:sz="1"/>
              <w:left w:val="single" w:color="BFBFBF" w:sz="1"/>
              <w:bottom w:val="single" w:color="BFBFBF" w:sz="1"/>
              <w:right w:val="single" w:color="BFBFBF" w:sz="1"/>
            </w:tcBorders>
            <w:tcMar>
              <w:top w:type="dxa" w:w="50"/>
              <w:left w:type="dxa" w:w="100"/>
              <w:bottom w:type="dxa" w:w="50"/>
              <w:right w:type="dxa" w:w="100"/>
            </w:tcMar>
          </w:tcPr>
          <w:p>
            <w:pPr>
              <w:spacing w:after="0"/>
            </w:pPr>
            <w:r>
              <w:rPr>
                <w:rFonts w:ascii="Arial" w:cs="Arial" w:eastAsia="Arial" w:hAnsi="Arial"/>
                <w:sz w:val="16"/>
                <w:szCs w:val="16"/>
              </w:rPr>
              <w:t xml:space="preserve">FY2028 Proposed Budget (Spring 2028)</w:t>
            </w:r>
          </w:p>
        </w:tc>
      </w:tr>
      <w:tr>
        <w:tc>
          <w:tcPr>
            <w:tcW w:type="dxa" w:w="560"/>
            <w:tcBorders>
              <w:top w:val="single" w:color="BFBFBF" w:sz="1"/>
              <w:left w:val="single" w:color="BFBFBF" w:sz="1"/>
              <w:bottom w:val="single" w:color="BFBFBF" w:sz="1"/>
              <w:right w:val="single" w:color="BFBFBF" w:sz="1"/>
            </w:tcBorders>
            <w:tcMar>
              <w:top w:type="dxa" w:w="50"/>
              <w:left w:type="dxa" w:w="100"/>
              <w:bottom w:type="dxa" w:w="50"/>
              <w:right w:type="dxa" w:w="100"/>
            </w:tcMar>
          </w:tcPr>
          <w:p>
            <w:pPr>
              <w:spacing w:after="0"/>
              <w:jc w:val="center"/>
            </w:pPr>
            <w:r>
              <w:rPr>
                <w:rFonts w:ascii="Arial" w:cs="Arial" w:eastAsia="Arial" w:hAnsi="Arial"/>
                <w:b/>
                <w:bCs/>
                <w:sz w:val="16"/>
                <w:szCs w:val="16"/>
              </w:rPr>
              <w:t xml:space="preserve">7</w:t>
            </w:r>
          </w:p>
        </w:tc>
        <w:tc>
          <w:tcPr>
            <w:tcW w:type="dxa" w:w="2600"/>
            <w:tcBorders>
              <w:top w:val="single" w:color="BFBFBF" w:sz="1"/>
              <w:left w:val="single" w:color="BFBFBF" w:sz="1"/>
              <w:bottom w:val="single" w:color="BFBFBF" w:sz="1"/>
              <w:right w:val="single" w:color="BFBFBF" w:sz="1"/>
            </w:tcBorders>
            <w:tcMar>
              <w:top w:type="dxa" w:w="50"/>
              <w:left w:type="dxa" w:w="100"/>
              <w:bottom w:type="dxa" w:w="50"/>
              <w:right w:type="dxa" w:w="100"/>
            </w:tcMar>
          </w:tcPr>
          <w:p>
            <w:pPr>
              <w:spacing w:after="0"/>
            </w:pPr>
            <w:r>
              <w:rPr>
                <w:rFonts w:ascii="Arial" w:cs="Arial" w:eastAsia="Arial" w:hAnsi="Arial"/>
                <w:b/>
                <w:bCs/>
                <w:sz w:val="16"/>
                <w:szCs w:val="16"/>
              </w:rPr>
              <w:t xml:space="preserve">Right-size funding (Council)</w:t>
            </w:r>
          </w:p>
        </w:tc>
        <w:tc>
          <w:tcPr>
            <w:tcW w:type="dxa" w:w="4200"/>
            <w:tcBorders>
              <w:top w:val="single" w:color="BFBFBF" w:sz="1"/>
              <w:left w:val="single" w:color="BFBFBF" w:sz="1"/>
              <w:bottom w:val="single" w:color="BFBFBF" w:sz="1"/>
              <w:right w:val="single" w:color="BFBFBF" w:sz="1"/>
            </w:tcBorders>
            <w:tcMar>
              <w:top w:type="dxa" w:w="50"/>
              <w:left w:type="dxa" w:w="100"/>
              <w:bottom w:type="dxa" w:w="50"/>
              <w:right w:type="dxa" w:w="100"/>
            </w:tcMar>
          </w:tcPr>
          <w:p>
            <w:pPr>
              <w:spacing w:after="0"/>
            </w:pPr>
            <w:r>
              <w:rPr>
                <w:rFonts w:ascii="Arial" w:cs="Arial" w:eastAsia="Arial" w:hAnsi="Arial"/>
                <w:sz w:val="16"/>
                <w:szCs w:val="16"/>
              </w:rPr>
              <w:t xml:space="preserve">Use TCO results to set an ongoing maintenance/renewal funding level and to test the Nov-2026 bond/tax against the deferral cost.</w:t>
            </w:r>
          </w:p>
        </w:tc>
        <w:tc>
          <w:tcPr>
            <w:tcW w:type="dxa" w:w="2000"/>
            <w:tcBorders>
              <w:top w:val="single" w:color="BFBFBF" w:sz="1"/>
              <w:left w:val="single" w:color="BFBFBF" w:sz="1"/>
              <w:bottom w:val="single" w:color="BFBFBF" w:sz="1"/>
              <w:right w:val="single" w:color="BFBFBF" w:sz="1"/>
            </w:tcBorders>
            <w:tcMar>
              <w:top w:type="dxa" w:w="50"/>
              <w:left w:type="dxa" w:w="100"/>
              <w:bottom w:type="dxa" w:w="50"/>
              <w:right w:type="dxa" w:w="100"/>
            </w:tcMar>
          </w:tcPr>
          <w:p>
            <w:pPr>
              <w:spacing w:after="0"/>
            </w:pPr>
            <w:r>
              <w:rPr>
                <w:rFonts w:ascii="Arial" w:cs="Arial" w:eastAsia="Arial" w:hAnsi="Arial"/>
                <w:sz w:val="16"/>
                <w:szCs w:val="16"/>
              </w:rPr>
              <w:t xml:space="preserve">FY2028 adoption</w:t>
            </w:r>
          </w:p>
        </w:tc>
      </w:tr>
    </w:tbl>
    <w:p>
      <w:pPr>
        <w:spacing w:after="70" w:before="200"/>
      </w:pPr>
      <w:r>
        <w:rPr>
          <w:rFonts w:ascii="Arial" w:cs="Arial" w:eastAsia="Arial" w:hAnsi="Arial"/>
          <w:b/>
          <w:bCs/>
          <w:color w:val="1F3864"/>
          <w:sz w:val="22"/>
          <w:szCs w:val="22"/>
        </w:rPr>
        <w:t xml:space="preserve">5.  The information to acquire — the specific ask to staff</w:t>
      </w:r>
    </w:p>
    <w:p>
      <w:pPr>
        <w:spacing w:after="90"/>
      </w:pPr>
      <w:r>
        <w:rPr>
          <w:rFonts w:ascii="Arial" w:cs="Arial" w:eastAsia="Arial" w:hAnsi="Arial"/>
          <w:sz w:val="18"/>
          <w:szCs w:val="18"/>
        </w:rPr>
        <w:t xml:space="preserve">That the City Manager be directed to return to Council with the following, by asset class, as the foundation for a TCO-based Capital Improvement Program:</w:t>
      </w:r>
    </w:p>
    <w:p>
      <w:pPr>
        <w:pStyle w:val="ListParagraph"/>
        <w:numPr>
          <w:ilvl w:val="0"/>
          <w:numId w:val="2"/>
        </w:numPr>
        <w:spacing w:after="40"/>
      </w:pPr>
      <w:r>
        <w:rPr>
          <w:rFonts w:ascii="Arial" w:cs="Arial" w:eastAsia="Arial" w:hAnsi="Arial"/>
          <w:b/>
          <w:bCs/>
          <w:sz w:val="18"/>
          <w:szCs w:val="18"/>
        </w:rPr>
        <w:t xml:space="preserve">Access to the City's existing pavement database. </w:t>
      </w:r>
      <w:r>
        <w:rPr>
          <w:rFonts w:ascii="Arial" w:cs="Arial" w:eastAsia="Arial" w:hAnsi="Arial"/>
          <w:sz w:val="18"/>
          <w:szCs w:val="18"/>
        </w:rPr>
        <w:t xml:space="preserve">The City already maintains a segment-level Pavement Management Program in MTC StreetSaver — PCI condition, treatment history, and deterioration models for all 449 lane-miles. Grant BeTH and the public read access to this dataset and publish it. It is the working model every other asset class should be built to match, and it can be acted on immediately at no new cost.</w:t>
      </w:r>
    </w:p>
    <w:p>
      <w:pPr>
        <w:pStyle w:val="ListParagraph"/>
        <w:numPr>
          <w:ilvl w:val="0"/>
          <w:numId w:val="2"/>
        </w:numPr>
        <w:spacing w:after="40"/>
      </w:pPr>
      <w:r>
        <w:rPr>
          <w:rFonts w:ascii="Arial" w:cs="Arial" w:eastAsia="Arial" w:hAnsi="Arial"/>
          <w:sz w:val="18"/>
          <w:szCs w:val="18"/>
        </w:rPr>
        <w:t xml:space="preserve">A complete fixed-asset register: quantity, install year, expected useful life, and replacement value.</w:t>
      </w:r>
    </w:p>
    <w:p>
      <w:pPr>
        <w:pStyle w:val="ListParagraph"/>
        <w:numPr>
          <w:ilvl w:val="0"/>
          <w:numId w:val="2"/>
        </w:numPr>
        <w:spacing w:after="40"/>
      </w:pPr>
      <w:r>
        <w:rPr>
          <w:rFonts w:ascii="Arial" w:cs="Arial" w:eastAsia="Arial" w:hAnsi="Arial"/>
          <w:sz w:val="18"/>
          <w:szCs w:val="18"/>
        </w:rPr>
        <w:t xml:space="preserve">A current condition score and remaining useful life — including a commissioned Facilities Condition Assessment and Marina structural assessment, and completion of the Sewer and Stormwater master plans.</w:t>
      </w:r>
    </w:p>
    <w:p>
      <w:pPr>
        <w:pStyle w:val="ListParagraph"/>
        <w:numPr>
          <w:ilvl w:val="0"/>
          <w:numId w:val="2"/>
        </w:numPr>
        <w:spacing w:after="40"/>
      </w:pPr>
      <w:r>
        <w:rPr>
          <w:rFonts w:ascii="Arial" w:cs="Arial" w:eastAsia="Arial" w:hAnsi="Arial"/>
          <w:sz w:val="18"/>
          <w:szCs w:val="18"/>
        </w:rPr>
        <w:t xml:space="preserve">Unit costs for annual O&amp;M, mid-life rehabilitation, and full replacement.</w:t>
      </w:r>
    </w:p>
    <w:p>
      <w:pPr>
        <w:pStyle w:val="ListParagraph"/>
        <w:numPr>
          <w:ilvl w:val="0"/>
          <w:numId w:val="2"/>
        </w:numPr>
        <w:spacing w:after="40"/>
      </w:pPr>
      <w:r>
        <w:rPr>
          <w:rFonts w:ascii="Arial" w:cs="Arial" w:eastAsia="Arial" w:hAnsi="Arial"/>
          <w:sz w:val="18"/>
          <w:szCs w:val="18"/>
        </w:rPr>
        <w:t xml:space="preserve">A deterioration model (curve) for each asset class.</w:t>
      </w:r>
    </w:p>
    <w:p>
      <w:pPr>
        <w:pStyle w:val="ListParagraph"/>
        <w:numPr>
          <w:ilvl w:val="0"/>
          <w:numId w:val="2"/>
        </w:numPr>
        <w:spacing w:after="40"/>
      </w:pPr>
      <w:r>
        <w:rPr>
          <w:rFonts w:ascii="Arial" w:cs="Arial" w:eastAsia="Arial" w:hAnsi="Arial"/>
          <w:sz w:val="18"/>
          <w:szCs w:val="18"/>
        </w:rPr>
        <w:t xml:space="preserve">An adopted discount rate and construction-escalation assumption.</w:t>
      </w:r>
    </w:p>
    <w:p>
      <w:pPr>
        <w:pStyle w:val="ListParagraph"/>
        <w:numPr>
          <w:ilvl w:val="0"/>
          <w:numId w:val="2"/>
        </w:numPr>
        <w:spacing w:after="40"/>
      </w:pPr>
      <w:r>
        <w:rPr>
          <w:rFonts w:ascii="Arial" w:cs="Arial" w:eastAsia="Arial" w:hAnsi="Arial"/>
          <w:sz w:val="18"/>
          <w:szCs w:val="18"/>
        </w:rPr>
        <w:t xml:space="preserve">A risk score — probability and consequence of failure — for each major asset.</w:t>
      </w:r>
    </w:p>
    <w:p>
      <w:pPr>
        <w:pStyle w:val="ListParagraph"/>
        <w:numPr>
          <w:ilvl w:val="0"/>
          <w:numId w:val="2"/>
        </w:numPr>
        <w:spacing w:after="40"/>
      </w:pPr>
      <w:r>
        <w:rPr>
          <w:rFonts w:ascii="Arial" w:cs="Arial" w:eastAsia="Arial" w:hAnsi="Arial"/>
          <w:sz w:val="18"/>
          <w:szCs w:val="18"/>
        </w:rPr>
        <w:t xml:space="preserve">The deferred-maintenance backlog per asset class (exists for streets; needed for the rest).</w:t>
      </w:r>
    </w:p>
    <w:p>
      <w:pPr>
        <w:pStyle w:val="ListParagraph"/>
        <w:numPr>
          <w:ilvl w:val="0"/>
          <w:numId w:val="2"/>
        </w:numPr>
        <w:spacing w:after="40"/>
      </w:pPr>
      <w:r>
        <w:rPr>
          <w:rFonts w:ascii="Arial" w:cs="Arial" w:eastAsia="Arial" w:hAnsi="Arial"/>
          <w:sz w:val="18"/>
          <w:szCs w:val="18"/>
        </w:rPr>
        <w:t xml:space="preserve">The City's current cost of capital (GO-bond rate), so deferral can be compared against borrowing.</w:t>
      </w:r>
    </w:p>
    <w:p>
      <w:pPr>
        <w:spacing w:after="70" w:before="200"/>
      </w:pPr>
      <w:r>
        <w:rPr>
          <w:rFonts w:ascii="Arial" w:cs="Arial" w:eastAsia="Arial" w:hAnsi="Arial"/>
          <w:b/>
          <w:bCs/>
          <w:color w:val="1F3864"/>
          <w:sz w:val="22"/>
          <w:szCs w:val="22"/>
        </w:rPr>
        <w:t xml:space="preserve">6.  Recommended Council action</w:t>
      </w:r>
    </w:p>
    <w:p>
      <w:pPr>
        <w:spacing w:after="90"/>
      </w:pPr>
      <w:r>
        <w:rPr>
          <w:rFonts w:ascii="Arial" w:cs="Arial" w:eastAsia="Arial" w:hAnsi="Arial"/>
          <w:sz w:val="18"/>
          <w:szCs w:val="18"/>
        </w:rPr>
        <w:t xml:space="preserve">Refer to the City Manager the development of a Total-Cost-of-Ownership capital-planning framework, adopting the seven-step process above, with the eight information deliverables in Section 5 to be completed in time to inform the FY2028 Proposed Budget. This is a process reform — it prescribes how capital decisions are documented and ranked, not which projects to fund.</w:t>
      </w:r>
    </w:p>
    <w:p>
      <w:pPr>
        <w:pBdr>
          <w:bottom w:val="single" w:color="1F3864" w:sz="6" w:space="1"/>
        </w:pBdr>
        <w:spacing w:after="100"/>
      </w:pPr>
    </w:p>
    <w:p>
      <w:pPr>
        <w:spacing w:after="90"/>
      </w:pPr>
      <w:r>
        <w:rPr>
          <w:rFonts w:ascii="Arial" w:cs="Arial" w:eastAsia="Arial" w:hAnsi="Arial"/>
          <w:color w:val="595959"/>
          <w:sz w:val="14"/>
          <w:szCs w:val="14"/>
        </w:rPr>
        <w:t xml:space="preserve">Sources: FHWA Pavement Preservation (4–5× preventive ratio); GFOA Life-Cycle Costing &amp; Capital Asset Management best practices; Berkeley Street Rehabilitation 5-Year Plan FY24-28 (backlog figures); Berkeley FY27–31 CIP; Berkeley ACFR FY2024; NASSCO PACP and FCI condition standards. Prepared by BeTH; figures carry confidence levels in the underlying database.</w:t>
      </w:r>
    </w:p>
    <w:sectPr>
      <w:pgSz w:w="12240" w:h="15840" w:orient="portrait"/>
      <w:pgMar w:top="1080" w:right="1080" w:bottom="96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7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18"/>
        <w:szCs w:val="18"/>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2026-06-18T00:36:56.644Z</dcterms:created>
  <dcterms:modified xsi:type="dcterms:W3CDTF">2026-06-18T00:36:56.645Z</dcterms:modified>
</cp:coreProperties>
</file>

<file path=docProps/custom.xml><?xml version="1.0" encoding="utf-8"?>
<Properties xmlns="http://schemas.openxmlformats.org/officeDocument/2006/custom-properties" xmlns:vt="http://schemas.openxmlformats.org/officeDocument/2006/docPropsVTypes"/>
</file>